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103"/>
        <w:gridCol w:w="2845"/>
        <w:gridCol w:w="4500"/>
        <w:gridCol w:w="1350"/>
        <w:gridCol w:w="1530"/>
      </w:tblGrid>
      <w:tr w:rsidR="00C56EDE" w:rsidRPr="00662AB3" w:rsidTr="00F33785">
        <w:tc>
          <w:tcPr>
            <w:tcW w:w="4103" w:type="dxa"/>
          </w:tcPr>
          <w:p w:rsidR="00C56EDE" w:rsidRPr="00662AB3" w:rsidRDefault="00C56EDE" w:rsidP="00CA1C81">
            <w:pPr>
              <w:rPr>
                <w:rFonts w:cs="Arial"/>
              </w:rPr>
            </w:pPr>
            <w:r w:rsidRPr="00662AB3">
              <w:rPr>
                <w:rFonts w:cs="Arial"/>
              </w:rPr>
              <w:t xml:space="preserve">I.B.2. -The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 </w:t>
            </w:r>
          </w:p>
          <w:p w:rsidR="00C56EDE" w:rsidRPr="00662AB3" w:rsidRDefault="00C56EDE" w:rsidP="00CA1C81">
            <w:pPr>
              <w:rPr>
                <w:rFonts w:cs="Arial"/>
              </w:rPr>
            </w:pPr>
          </w:p>
        </w:tc>
        <w:tc>
          <w:tcPr>
            <w:tcW w:w="2845" w:type="dxa"/>
          </w:tcPr>
          <w:p w:rsidR="00C5734B" w:rsidRPr="00662AB3" w:rsidRDefault="00C5734B" w:rsidP="00C5734B">
            <w:pPr>
              <w:jc w:val="center"/>
              <w:rPr>
                <w:rFonts w:cs="Arial"/>
              </w:rPr>
            </w:pPr>
            <w:r w:rsidRPr="00662AB3">
              <w:rPr>
                <w:rFonts w:cs="Arial"/>
              </w:rPr>
              <w:t xml:space="preserve">Partially </w:t>
            </w:r>
            <w:r w:rsidR="005B15C4" w:rsidRPr="00662AB3">
              <w:rPr>
                <w:rFonts w:cs="Arial"/>
              </w:rPr>
              <w:t xml:space="preserve">meets </w:t>
            </w:r>
          </w:p>
          <w:p w:rsidR="005B15C4" w:rsidRPr="00662AB3" w:rsidRDefault="005B15C4" w:rsidP="005B15C4">
            <w:pPr>
              <w:jc w:val="center"/>
              <w:rPr>
                <w:rFonts w:cs="Arial"/>
              </w:rPr>
            </w:pPr>
            <w:r w:rsidRPr="00662AB3">
              <w:rPr>
                <w:rFonts w:cs="Arial"/>
              </w:rPr>
              <w:t>the standard</w:t>
            </w:r>
          </w:p>
        </w:tc>
        <w:tc>
          <w:tcPr>
            <w:tcW w:w="4500" w:type="dxa"/>
          </w:tcPr>
          <w:p w:rsidR="00C56EDE" w:rsidRPr="00662AB3" w:rsidRDefault="00C56EDE" w:rsidP="00CA1C81">
            <w:pPr>
              <w:rPr>
                <w:rFonts w:cs="Arial"/>
              </w:rPr>
            </w:pPr>
            <w:r w:rsidRPr="00662AB3">
              <w:rPr>
                <w:rFonts w:cs="Arial"/>
              </w:rPr>
              <w:t xml:space="preserve">1. Develop measureable </w:t>
            </w:r>
            <w:r w:rsidRPr="00662AB3">
              <w:rPr>
                <w:rFonts w:eastAsia="Arial-Black" w:cs="Arial"/>
              </w:rPr>
              <w:t xml:space="preserve">Wing Action Plans used to implement the </w:t>
            </w:r>
            <w:r w:rsidR="00A879C8" w:rsidRPr="00662AB3">
              <w:rPr>
                <w:rFonts w:eastAsia="Arial-Black" w:cs="Arial"/>
              </w:rPr>
              <w:t>college g</w:t>
            </w:r>
            <w:r w:rsidR="00BA7B47" w:rsidRPr="00662AB3">
              <w:rPr>
                <w:rFonts w:eastAsia="Arial-Black" w:cs="Arial"/>
              </w:rPr>
              <w:t>oals</w:t>
            </w:r>
            <w:r w:rsidRPr="00662AB3">
              <w:rPr>
                <w:rFonts w:eastAsia="Arial-Black" w:cs="Arial"/>
              </w:rPr>
              <w:t xml:space="preserve"> and </w:t>
            </w:r>
            <w:r w:rsidRPr="00662AB3">
              <w:rPr>
                <w:rFonts w:cs="Arial"/>
              </w:rPr>
              <w:t>present to the PIEAC and Budget</w:t>
            </w:r>
            <w:r w:rsidR="00EA2127">
              <w:rPr>
                <w:rFonts w:cs="Arial"/>
              </w:rPr>
              <w:t xml:space="preserve"> Committee (BC) in the spring 2013 </w:t>
            </w:r>
            <w:r w:rsidRPr="00662AB3">
              <w:rPr>
                <w:rFonts w:cs="Arial"/>
              </w:rPr>
              <w:t xml:space="preserve">semester for prioritization and funding.  Evaluate Wing Action Plans once they have completed a full planning and budget cycle.  </w:t>
            </w:r>
          </w:p>
          <w:p w:rsidR="00C56EDE" w:rsidRDefault="00C56EDE" w:rsidP="00CA1C81">
            <w:pPr>
              <w:rPr>
                <w:rFonts w:cs="Arial"/>
              </w:rPr>
            </w:pPr>
          </w:p>
          <w:p w:rsidR="00C95AFF" w:rsidRPr="00662AB3" w:rsidRDefault="00C95AFF" w:rsidP="00CA1C81">
            <w:pPr>
              <w:rPr>
                <w:rFonts w:cs="Arial"/>
              </w:rPr>
            </w:pPr>
          </w:p>
          <w:p w:rsidR="004751BD" w:rsidRPr="00662AB3" w:rsidRDefault="00C56EDE" w:rsidP="002B45FA">
            <w:pPr>
              <w:rPr>
                <w:rFonts w:cs="Arial"/>
              </w:rPr>
            </w:pPr>
            <w:r w:rsidRPr="00662AB3">
              <w:rPr>
                <w:rFonts w:cs="Arial"/>
              </w:rPr>
              <w:t>2. Utilize the Key Performance Indicators to assess EMP outcomes and determine a cycle for comparison of achievement results.  Evaluate KPI’s effectiveness as assessment measures. (Same as I.B.3.)</w:t>
            </w:r>
          </w:p>
          <w:p w:rsidR="002B45FA" w:rsidRPr="00662AB3" w:rsidRDefault="002B45FA" w:rsidP="002B45FA">
            <w:pPr>
              <w:rPr>
                <w:rFonts w:cs="Arial"/>
              </w:rPr>
            </w:pPr>
          </w:p>
        </w:tc>
        <w:tc>
          <w:tcPr>
            <w:tcW w:w="1350" w:type="dxa"/>
            <w:shd w:val="clear" w:color="auto" w:fill="DBE5F1" w:themeFill="accent1" w:themeFillTint="33"/>
          </w:tcPr>
          <w:p w:rsidR="00C56EDE" w:rsidRPr="00266C6A" w:rsidRDefault="003972A9" w:rsidP="003972A9">
            <w:pPr>
              <w:ind w:left="-108" w:right="-1818"/>
              <w:rPr>
                <w:rFonts w:cs="Arial"/>
                <w:sz w:val="18"/>
                <w:szCs w:val="18"/>
              </w:rPr>
            </w:pPr>
            <w:r>
              <w:rPr>
                <w:rFonts w:cs="Arial"/>
                <w:sz w:val="20"/>
                <w:szCs w:val="20"/>
              </w:rPr>
              <w:t xml:space="preserve">  </w:t>
            </w:r>
            <w:r w:rsidRPr="00266C6A">
              <w:rPr>
                <w:rFonts w:cs="Arial"/>
                <w:sz w:val="18"/>
                <w:szCs w:val="18"/>
              </w:rPr>
              <w:t>Vice President</w:t>
            </w:r>
          </w:p>
          <w:p w:rsidR="00C56EDE" w:rsidRPr="00266C6A" w:rsidRDefault="003972A9" w:rsidP="00C56EDE">
            <w:pPr>
              <w:ind w:right="-1818"/>
              <w:rPr>
                <w:rFonts w:cs="Arial"/>
                <w:sz w:val="18"/>
                <w:szCs w:val="18"/>
              </w:rPr>
            </w:pPr>
            <w:r w:rsidRPr="00266C6A">
              <w:rPr>
                <w:rFonts w:cs="Arial"/>
                <w:sz w:val="18"/>
                <w:szCs w:val="18"/>
              </w:rPr>
              <w:t xml:space="preserve">  Instruction/</w:t>
            </w:r>
          </w:p>
          <w:p w:rsidR="00C56EDE" w:rsidRPr="00266C6A" w:rsidRDefault="003972A9" w:rsidP="00C56EDE">
            <w:pPr>
              <w:ind w:right="-1818"/>
              <w:rPr>
                <w:rFonts w:cs="Arial"/>
                <w:sz w:val="18"/>
                <w:szCs w:val="18"/>
              </w:rPr>
            </w:pPr>
            <w:r w:rsidRPr="00266C6A">
              <w:rPr>
                <w:rFonts w:cs="Arial"/>
                <w:sz w:val="18"/>
                <w:szCs w:val="18"/>
              </w:rPr>
              <w:t xml:space="preserve">    Student </w:t>
            </w:r>
          </w:p>
          <w:p w:rsidR="003972A9" w:rsidRPr="00266C6A" w:rsidRDefault="003972A9" w:rsidP="00C56EDE">
            <w:pPr>
              <w:ind w:right="-1818"/>
              <w:rPr>
                <w:rFonts w:cs="Arial"/>
                <w:sz w:val="18"/>
                <w:szCs w:val="18"/>
              </w:rPr>
            </w:pPr>
            <w:r w:rsidRPr="00266C6A">
              <w:rPr>
                <w:rFonts w:cs="Arial"/>
                <w:sz w:val="18"/>
                <w:szCs w:val="18"/>
              </w:rPr>
              <w:t xml:space="preserve">    Services</w:t>
            </w:r>
            <w:r w:rsidR="00266C6A" w:rsidRPr="00266C6A">
              <w:rPr>
                <w:rFonts w:cs="Arial"/>
                <w:sz w:val="18"/>
                <w:szCs w:val="18"/>
              </w:rPr>
              <w:t xml:space="preserve">  &amp;</w:t>
            </w:r>
            <w:r w:rsidRPr="00266C6A">
              <w:rPr>
                <w:rFonts w:cs="Arial"/>
                <w:sz w:val="18"/>
                <w:szCs w:val="18"/>
              </w:rPr>
              <w:t xml:space="preserve">          &amp;</w:t>
            </w:r>
          </w:p>
          <w:p w:rsidR="003972A9" w:rsidRPr="00266C6A" w:rsidRDefault="003972A9" w:rsidP="00C56EDE">
            <w:pPr>
              <w:ind w:right="-1818"/>
              <w:rPr>
                <w:rFonts w:cs="Arial"/>
                <w:sz w:val="18"/>
                <w:szCs w:val="18"/>
              </w:rPr>
            </w:pPr>
            <w:r w:rsidRPr="00266C6A">
              <w:rPr>
                <w:rFonts w:cs="Arial"/>
                <w:sz w:val="18"/>
                <w:szCs w:val="18"/>
              </w:rPr>
              <w:t>Vice President</w:t>
            </w:r>
          </w:p>
          <w:p w:rsidR="003972A9" w:rsidRPr="00266C6A" w:rsidRDefault="003972A9" w:rsidP="00C56EDE">
            <w:pPr>
              <w:ind w:right="-1818"/>
              <w:rPr>
                <w:rFonts w:cs="Arial"/>
                <w:sz w:val="18"/>
                <w:szCs w:val="18"/>
              </w:rPr>
            </w:pPr>
            <w:r w:rsidRPr="00266C6A">
              <w:rPr>
                <w:rFonts w:cs="Arial"/>
                <w:sz w:val="18"/>
                <w:szCs w:val="18"/>
              </w:rPr>
              <w:t>Administrative</w:t>
            </w:r>
          </w:p>
          <w:p w:rsidR="00C56EDE" w:rsidRPr="00266C6A" w:rsidRDefault="003972A9" w:rsidP="00C56EDE">
            <w:pPr>
              <w:ind w:right="-1818"/>
              <w:rPr>
                <w:rFonts w:cs="Arial"/>
                <w:sz w:val="18"/>
                <w:szCs w:val="18"/>
              </w:rPr>
            </w:pPr>
            <w:r w:rsidRPr="00266C6A">
              <w:rPr>
                <w:rFonts w:cs="Arial"/>
                <w:sz w:val="18"/>
                <w:szCs w:val="18"/>
              </w:rPr>
              <w:t xml:space="preserve">    Services</w:t>
            </w:r>
          </w:p>
          <w:p w:rsidR="003972A9" w:rsidRPr="00266C6A" w:rsidRDefault="003972A9" w:rsidP="00C56EDE">
            <w:pPr>
              <w:ind w:right="-1818"/>
              <w:rPr>
                <w:rFonts w:cs="Arial"/>
                <w:sz w:val="18"/>
                <w:szCs w:val="18"/>
              </w:rPr>
            </w:pPr>
            <w:r w:rsidRPr="00266C6A">
              <w:rPr>
                <w:rFonts w:cs="Arial"/>
                <w:sz w:val="18"/>
                <w:szCs w:val="18"/>
              </w:rPr>
              <w:t xml:space="preserve">  Presidents</w:t>
            </w:r>
          </w:p>
          <w:p w:rsidR="003972A9" w:rsidRDefault="003972A9" w:rsidP="00C56EDE">
            <w:pPr>
              <w:ind w:right="-1818"/>
              <w:rPr>
                <w:rFonts w:cs="Arial"/>
              </w:rPr>
            </w:pPr>
          </w:p>
          <w:p w:rsidR="00C95AFF" w:rsidRDefault="00C95AFF" w:rsidP="00C56EDE">
            <w:pPr>
              <w:ind w:right="-1818"/>
              <w:rPr>
                <w:rFonts w:cs="Arial"/>
              </w:rPr>
            </w:pPr>
          </w:p>
          <w:p w:rsidR="00266C6A" w:rsidRPr="00266C6A" w:rsidRDefault="00266C6A" w:rsidP="00266C6A">
            <w:pPr>
              <w:ind w:right="-1818"/>
              <w:rPr>
                <w:rFonts w:cs="Arial"/>
                <w:sz w:val="18"/>
                <w:szCs w:val="18"/>
              </w:rPr>
            </w:pPr>
            <w:r>
              <w:rPr>
                <w:rFonts w:cs="Arial"/>
                <w:sz w:val="18"/>
                <w:szCs w:val="18"/>
              </w:rPr>
              <w:t xml:space="preserve">       </w:t>
            </w:r>
            <w:r w:rsidRPr="00266C6A">
              <w:rPr>
                <w:rFonts w:cs="Arial"/>
                <w:sz w:val="18"/>
                <w:szCs w:val="18"/>
              </w:rPr>
              <w:t>PIEAC</w:t>
            </w:r>
          </w:p>
          <w:p w:rsidR="00266C6A" w:rsidRPr="00266C6A" w:rsidRDefault="00266C6A" w:rsidP="00266C6A">
            <w:pPr>
              <w:ind w:right="-1818"/>
              <w:rPr>
                <w:rFonts w:cs="Arial"/>
                <w:sz w:val="18"/>
                <w:szCs w:val="18"/>
              </w:rPr>
            </w:pPr>
            <w:r>
              <w:rPr>
                <w:rFonts w:cs="Arial"/>
                <w:sz w:val="18"/>
                <w:szCs w:val="18"/>
              </w:rPr>
              <w:t xml:space="preserve">  </w:t>
            </w:r>
            <w:r w:rsidRPr="00266C6A">
              <w:rPr>
                <w:rFonts w:cs="Arial"/>
                <w:sz w:val="18"/>
                <w:szCs w:val="18"/>
              </w:rPr>
              <w:t>Committee</w:t>
            </w:r>
          </w:p>
          <w:p w:rsidR="00266C6A" w:rsidRPr="00266C6A" w:rsidRDefault="00266C6A" w:rsidP="00266C6A">
            <w:pPr>
              <w:ind w:right="-1818"/>
              <w:rPr>
                <w:rFonts w:cs="Arial"/>
                <w:sz w:val="18"/>
                <w:szCs w:val="18"/>
              </w:rPr>
            </w:pPr>
          </w:p>
          <w:p w:rsidR="00266C6A" w:rsidRPr="00266C6A" w:rsidRDefault="00266C6A" w:rsidP="00266C6A">
            <w:pPr>
              <w:rPr>
                <w:rFonts w:cs="Arial"/>
                <w:sz w:val="18"/>
                <w:szCs w:val="18"/>
              </w:rPr>
            </w:pPr>
            <w:r>
              <w:rPr>
                <w:rFonts w:cs="Arial"/>
                <w:sz w:val="18"/>
                <w:szCs w:val="18"/>
              </w:rPr>
              <w:t xml:space="preserve">    </w:t>
            </w:r>
            <w:r w:rsidRPr="00266C6A">
              <w:rPr>
                <w:rFonts w:cs="Arial"/>
                <w:sz w:val="18"/>
                <w:szCs w:val="18"/>
              </w:rPr>
              <w:t>Associate</w:t>
            </w:r>
          </w:p>
          <w:p w:rsidR="00266C6A" w:rsidRPr="00266C6A" w:rsidRDefault="00266C6A" w:rsidP="00266C6A">
            <w:pPr>
              <w:rPr>
                <w:rFonts w:cs="Arial"/>
                <w:sz w:val="18"/>
                <w:szCs w:val="18"/>
              </w:rPr>
            </w:pPr>
            <w:r>
              <w:rPr>
                <w:rFonts w:cs="Arial"/>
                <w:sz w:val="18"/>
                <w:szCs w:val="18"/>
              </w:rPr>
              <w:t xml:space="preserve">       D</w:t>
            </w:r>
            <w:r w:rsidRPr="00266C6A">
              <w:rPr>
                <w:rFonts w:cs="Arial"/>
                <w:sz w:val="18"/>
                <w:szCs w:val="18"/>
              </w:rPr>
              <w:t>ean</w:t>
            </w:r>
          </w:p>
          <w:p w:rsidR="00266C6A" w:rsidRDefault="00266C6A" w:rsidP="00266C6A">
            <w:pPr>
              <w:rPr>
                <w:rFonts w:cs="Arial"/>
                <w:sz w:val="18"/>
                <w:szCs w:val="18"/>
              </w:rPr>
            </w:pPr>
            <w:r>
              <w:rPr>
                <w:rFonts w:cs="Arial"/>
                <w:sz w:val="18"/>
                <w:szCs w:val="18"/>
              </w:rPr>
              <w:t xml:space="preserve">  </w:t>
            </w:r>
            <w:r w:rsidRPr="00266C6A">
              <w:rPr>
                <w:rFonts w:cs="Arial"/>
                <w:sz w:val="18"/>
                <w:szCs w:val="18"/>
              </w:rPr>
              <w:t xml:space="preserve">Institutional </w:t>
            </w:r>
          </w:p>
          <w:p w:rsidR="00266C6A" w:rsidRPr="00266C6A" w:rsidRDefault="00266C6A" w:rsidP="00266C6A">
            <w:pPr>
              <w:rPr>
                <w:rFonts w:cs="Arial"/>
                <w:sz w:val="18"/>
                <w:szCs w:val="18"/>
              </w:rPr>
            </w:pPr>
            <w:r>
              <w:rPr>
                <w:rFonts w:cs="Arial"/>
                <w:sz w:val="18"/>
                <w:szCs w:val="18"/>
              </w:rPr>
              <w:t xml:space="preserve"> Research   &amp;                        </w:t>
            </w:r>
          </w:p>
          <w:p w:rsidR="00266C6A" w:rsidRPr="00266C6A" w:rsidRDefault="00266C6A" w:rsidP="00266C6A">
            <w:pPr>
              <w:ind w:right="-1818"/>
              <w:rPr>
                <w:rFonts w:cs="Arial"/>
                <w:sz w:val="18"/>
                <w:szCs w:val="18"/>
              </w:rPr>
            </w:pPr>
            <w:r>
              <w:rPr>
                <w:rFonts w:cs="Arial"/>
                <w:sz w:val="18"/>
                <w:szCs w:val="18"/>
              </w:rPr>
              <w:t xml:space="preserve">     </w:t>
            </w:r>
            <w:r w:rsidRPr="00266C6A">
              <w:rPr>
                <w:rFonts w:cs="Arial"/>
                <w:sz w:val="18"/>
                <w:szCs w:val="18"/>
              </w:rPr>
              <w:t>Planning</w:t>
            </w:r>
          </w:p>
          <w:p w:rsidR="00C56EDE" w:rsidRPr="00662AB3" w:rsidRDefault="00C56EDE" w:rsidP="00C56EDE">
            <w:pPr>
              <w:ind w:right="-1818"/>
              <w:rPr>
                <w:rFonts w:cs="Arial"/>
              </w:rPr>
            </w:pPr>
          </w:p>
        </w:tc>
        <w:tc>
          <w:tcPr>
            <w:tcW w:w="1530" w:type="dxa"/>
          </w:tcPr>
          <w:p w:rsidR="00835077" w:rsidRDefault="00835077" w:rsidP="00835077">
            <w:pPr>
              <w:ind w:right="-1818"/>
              <w:rPr>
                <w:rFonts w:cs="Arial"/>
              </w:rPr>
            </w:pPr>
            <w:r>
              <w:rPr>
                <w:rFonts w:cs="Arial"/>
              </w:rPr>
              <w:t xml:space="preserve">      </w:t>
            </w:r>
            <w:r w:rsidR="002237CE" w:rsidRPr="002237CE">
              <w:rPr>
                <w:rFonts w:cs="Arial"/>
              </w:rPr>
              <w:t xml:space="preserve">Spring </w:t>
            </w:r>
          </w:p>
          <w:p w:rsidR="00C56EDE" w:rsidRPr="002237CE" w:rsidRDefault="00835077" w:rsidP="00835077">
            <w:pPr>
              <w:ind w:right="-1818"/>
              <w:rPr>
                <w:rFonts w:cs="Arial"/>
              </w:rPr>
            </w:pPr>
            <w:r>
              <w:rPr>
                <w:rFonts w:cs="Arial"/>
              </w:rPr>
              <w:t xml:space="preserve">        </w:t>
            </w:r>
            <w:r w:rsidR="002237CE" w:rsidRPr="002237CE">
              <w:rPr>
                <w:rFonts w:cs="Arial"/>
              </w:rPr>
              <w:t>2013</w:t>
            </w:r>
          </w:p>
          <w:p w:rsidR="002237CE" w:rsidRPr="002237CE" w:rsidRDefault="002237CE" w:rsidP="00835077">
            <w:pPr>
              <w:ind w:right="-1818"/>
              <w:rPr>
                <w:rFonts w:cs="Arial"/>
              </w:rPr>
            </w:pPr>
          </w:p>
          <w:p w:rsidR="002237CE" w:rsidRPr="002237CE" w:rsidRDefault="002237CE" w:rsidP="00835077">
            <w:pPr>
              <w:ind w:right="-1818"/>
              <w:rPr>
                <w:rFonts w:cs="Arial"/>
              </w:rPr>
            </w:pPr>
          </w:p>
          <w:p w:rsidR="002237CE" w:rsidRPr="002237CE" w:rsidRDefault="002237CE" w:rsidP="00835077">
            <w:pPr>
              <w:ind w:right="-1818"/>
              <w:rPr>
                <w:rFonts w:cs="Arial"/>
              </w:rPr>
            </w:pPr>
          </w:p>
          <w:p w:rsidR="002237CE" w:rsidRPr="002237CE" w:rsidRDefault="002237CE" w:rsidP="00835077">
            <w:pPr>
              <w:ind w:right="-1818"/>
              <w:rPr>
                <w:rFonts w:cs="Arial"/>
              </w:rPr>
            </w:pPr>
          </w:p>
          <w:p w:rsidR="002237CE" w:rsidRPr="002237CE" w:rsidRDefault="002237CE" w:rsidP="00835077">
            <w:pPr>
              <w:ind w:right="-1818"/>
              <w:rPr>
                <w:rFonts w:cs="Arial"/>
              </w:rPr>
            </w:pPr>
          </w:p>
          <w:p w:rsidR="002237CE" w:rsidRPr="002237CE" w:rsidRDefault="002237CE" w:rsidP="00835077">
            <w:pPr>
              <w:ind w:right="-1818"/>
              <w:rPr>
                <w:rFonts w:cs="Arial"/>
              </w:rPr>
            </w:pPr>
          </w:p>
          <w:p w:rsidR="00C95AFF" w:rsidRDefault="00835077" w:rsidP="00266C6A">
            <w:pPr>
              <w:ind w:right="-1818"/>
              <w:rPr>
                <w:rFonts w:cs="Arial"/>
              </w:rPr>
            </w:pPr>
            <w:r>
              <w:rPr>
                <w:rFonts w:cs="Arial"/>
              </w:rPr>
              <w:t xml:space="preserve">    </w:t>
            </w:r>
            <w:r w:rsidR="00266C6A">
              <w:rPr>
                <w:rFonts w:cs="Arial"/>
              </w:rPr>
              <w:t xml:space="preserve"> </w:t>
            </w:r>
          </w:p>
          <w:p w:rsidR="00266C6A" w:rsidRDefault="00C95AFF" w:rsidP="0001438B">
            <w:pPr>
              <w:ind w:right="-1818"/>
              <w:rPr>
                <w:rFonts w:cs="Arial"/>
              </w:rPr>
            </w:pPr>
            <w:r>
              <w:rPr>
                <w:rFonts w:cs="Arial"/>
              </w:rPr>
              <w:t xml:space="preserve">    </w:t>
            </w:r>
            <w:r w:rsidR="00266C6A">
              <w:rPr>
                <w:rFonts w:cs="Arial"/>
              </w:rPr>
              <w:t xml:space="preserve"> </w:t>
            </w:r>
            <w:r>
              <w:rPr>
                <w:rFonts w:cs="Arial"/>
              </w:rPr>
              <w:t xml:space="preserve"> </w:t>
            </w:r>
            <w:r w:rsidR="00835077">
              <w:rPr>
                <w:rFonts w:cs="Arial"/>
              </w:rPr>
              <w:t xml:space="preserve"> </w:t>
            </w:r>
            <w:r w:rsidR="00266C6A">
              <w:rPr>
                <w:rFonts w:cs="Arial"/>
              </w:rPr>
              <w:t>Spring</w:t>
            </w:r>
          </w:p>
          <w:p w:rsidR="0001438B" w:rsidRDefault="0001438B" w:rsidP="0001438B">
            <w:pPr>
              <w:ind w:right="-1818"/>
              <w:rPr>
                <w:rFonts w:cs="Arial"/>
              </w:rPr>
            </w:pPr>
            <w:r>
              <w:rPr>
                <w:rFonts w:cs="Arial"/>
              </w:rPr>
              <w:t xml:space="preserve">         2013</w:t>
            </w:r>
          </w:p>
          <w:p w:rsidR="0001438B" w:rsidRPr="00662AB3" w:rsidRDefault="0001438B" w:rsidP="0001438B">
            <w:pPr>
              <w:ind w:right="-1818"/>
              <w:rPr>
                <w:rFonts w:cs="Arial"/>
                <w:color w:val="C00000"/>
                <w:u w:val="single"/>
              </w:rPr>
            </w:pPr>
          </w:p>
        </w:tc>
      </w:tr>
      <w:tr w:rsidR="00C56EDE" w:rsidRPr="00662AB3" w:rsidTr="00F33785">
        <w:tc>
          <w:tcPr>
            <w:tcW w:w="4103" w:type="dxa"/>
            <w:tcBorders>
              <w:bottom w:val="single" w:sz="4" w:space="0" w:color="000000" w:themeColor="text1"/>
            </w:tcBorders>
          </w:tcPr>
          <w:p w:rsidR="002702A0" w:rsidRPr="00662AB3" w:rsidRDefault="00C56EDE" w:rsidP="009473D2">
            <w:pPr>
              <w:rPr>
                <w:rFonts w:cs="Arial"/>
              </w:rPr>
            </w:pPr>
            <w:r w:rsidRPr="00662AB3">
              <w:rPr>
                <w:rFonts w:cs="Arial"/>
              </w:rPr>
              <w:t>I.B.3. - The institution assesses progress toward achieving its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w:t>
            </w:r>
          </w:p>
          <w:p w:rsidR="002702A0" w:rsidRDefault="002702A0" w:rsidP="009473D2">
            <w:pPr>
              <w:rPr>
                <w:rFonts w:cs="Arial"/>
              </w:rPr>
            </w:pPr>
          </w:p>
          <w:p w:rsidR="00662AB3" w:rsidRPr="00662AB3" w:rsidRDefault="00662AB3" w:rsidP="009473D2">
            <w:pPr>
              <w:rPr>
                <w:rFonts w:cs="Arial"/>
              </w:rPr>
            </w:pPr>
          </w:p>
          <w:p w:rsidR="004751BD" w:rsidRPr="00662AB3" w:rsidRDefault="004751BD" w:rsidP="009473D2">
            <w:pPr>
              <w:rPr>
                <w:rFonts w:cs="Arial"/>
              </w:rPr>
            </w:pPr>
          </w:p>
          <w:p w:rsidR="004751BD" w:rsidRPr="00662AB3" w:rsidRDefault="004751BD" w:rsidP="009473D2">
            <w:pPr>
              <w:rPr>
                <w:rFonts w:cs="Arial"/>
              </w:rPr>
            </w:pPr>
          </w:p>
          <w:p w:rsidR="002702A0" w:rsidRPr="00662AB3" w:rsidRDefault="002702A0" w:rsidP="009473D2">
            <w:pPr>
              <w:rPr>
                <w:rFonts w:cs="Arial"/>
              </w:rPr>
            </w:pPr>
          </w:p>
          <w:p w:rsidR="002702A0" w:rsidRPr="00662AB3" w:rsidRDefault="002702A0" w:rsidP="009473D2">
            <w:pPr>
              <w:rPr>
                <w:rFonts w:cs="Arial"/>
              </w:rPr>
            </w:pPr>
          </w:p>
          <w:p w:rsidR="00C56EDE" w:rsidRPr="00662AB3" w:rsidRDefault="00C56EDE" w:rsidP="009473D2">
            <w:pPr>
              <w:rPr>
                <w:rFonts w:cs="Arial"/>
              </w:rPr>
            </w:pPr>
          </w:p>
        </w:tc>
        <w:tc>
          <w:tcPr>
            <w:tcW w:w="2845" w:type="dxa"/>
            <w:tcBorders>
              <w:bottom w:val="single" w:sz="4" w:space="0" w:color="000000" w:themeColor="text1"/>
            </w:tcBorders>
          </w:tcPr>
          <w:p w:rsidR="00C5734B" w:rsidRPr="00662AB3" w:rsidRDefault="004D6C51" w:rsidP="005B15C4">
            <w:pPr>
              <w:jc w:val="center"/>
              <w:rPr>
                <w:rFonts w:cs="Arial"/>
              </w:rPr>
            </w:pPr>
            <w:r w:rsidRPr="00662AB3">
              <w:rPr>
                <w:rFonts w:cs="Arial"/>
              </w:rPr>
              <w:t xml:space="preserve">Partially </w:t>
            </w:r>
            <w:r w:rsidR="005B15C4" w:rsidRPr="00662AB3">
              <w:rPr>
                <w:rFonts w:cs="Arial"/>
              </w:rPr>
              <w:t>m</w:t>
            </w:r>
            <w:r w:rsidRPr="00662AB3">
              <w:rPr>
                <w:rFonts w:cs="Arial"/>
              </w:rPr>
              <w:t>eets</w:t>
            </w:r>
          </w:p>
          <w:p w:rsidR="005B15C4" w:rsidRPr="00662AB3" w:rsidRDefault="005B15C4" w:rsidP="005B15C4">
            <w:pPr>
              <w:jc w:val="center"/>
              <w:rPr>
                <w:rFonts w:cs="Arial"/>
              </w:rPr>
            </w:pPr>
            <w:r w:rsidRPr="00662AB3">
              <w:rPr>
                <w:rFonts w:cs="Arial"/>
              </w:rPr>
              <w:t>the standard</w:t>
            </w:r>
          </w:p>
        </w:tc>
        <w:tc>
          <w:tcPr>
            <w:tcW w:w="4500" w:type="dxa"/>
            <w:tcBorders>
              <w:bottom w:val="single" w:sz="4" w:space="0" w:color="000000" w:themeColor="text1"/>
            </w:tcBorders>
          </w:tcPr>
          <w:p w:rsidR="00C56EDE" w:rsidRPr="00662AB3" w:rsidRDefault="00C56EDE" w:rsidP="00CA1C81">
            <w:pPr>
              <w:rPr>
                <w:rFonts w:cs="Arial"/>
              </w:rPr>
            </w:pPr>
            <w:r w:rsidRPr="00662AB3">
              <w:rPr>
                <w:rFonts w:cs="Arial"/>
              </w:rPr>
              <w:t>Utilize the Key Performance Indicators to assess EMP outcomes and determine a cycle for comparison of achievement results.  Evaluate KPI’s effectiveness as assessment measures. (Same as I.B.2.)</w:t>
            </w:r>
          </w:p>
          <w:p w:rsidR="00C56EDE" w:rsidRPr="00662AB3" w:rsidRDefault="00C56EDE" w:rsidP="00CA1C81">
            <w:pPr>
              <w:rPr>
                <w:rFonts w:cs="Arial"/>
              </w:rPr>
            </w:pPr>
          </w:p>
        </w:tc>
        <w:tc>
          <w:tcPr>
            <w:tcW w:w="1350" w:type="dxa"/>
            <w:tcBorders>
              <w:bottom w:val="single" w:sz="4" w:space="0" w:color="000000" w:themeColor="text1"/>
            </w:tcBorders>
            <w:shd w:val="clear" w:color="auto" w:fill="DBE5F1" w:themeFill="accent1" w:themeFillTint="33"/>
          </w:tcPr>
          <w:p w:rsidR="00882E17" w:rsidRPr="00266C6A" w:rsidRDefault="00882E17" w:rsidP="00882E17">
            <w:pPr>
              <w:ind w:right="-1818"/>
              <w:rPr>
                <w:rFonts w:cs="Arial"/>
                <w:sz w:val="18"/>
                <w:szCs w:val="18"/>
              </w:rPr>
            </w:pPr>
            <w:r>
              <w:rPr>
                <w:rFonts w:cs="Arial"/>
                <w:sz w:val="18"/>
                <w:szCs w:val="18"/>
              </w:rPr>
              <w:t xml:space="preserve">       </w:t>
            </w:r>
            <w:r w:rsidRPr="00266C6A">
              <w:rPr>
                <w:rFonts w:cs="Arial"/>
                <w:sz w:val="18"/>
                <w:szCs w:val="18"/>
              </w:rPr>
              <w:t>PIEAC</w:t>
            </w:r>
          </w:p>
          <w:p w:rsidR="00882E17" w:rsidRPr="00266C6A" w:rsidRDefault="00882E17" w:rsidP="00882E17">
            <w:pPr>
              <w:ind w:right="-1818"/>
              <w:rPr>
                <w:rFonts w:cs="Arial"/>
                <w:sz w:val="18"/>
                <w:szCs w:val="18"/>
              </w:rPr>
            </w:pPr>
            <w:r>
              <w:rPr>
                <w:rFonts w:cs="Arial"/>
                <w:sz w:val="18"/>
                <w:szCs w:val="18"/>
              </w:rPr>
              <w:t xml:space="preserve">  </w:t>
            </w:r>
            <w:r w:rsidRPr="00266C6A">
              <w:rPr>
                <w:rFonts w:cs="Arial"/>
                <w:sz w:val="18"/>
                <w:szCs w:val="18"/>
              </w:rPr>
              <w:t>Committee</w:t>
            </w:r>
          </w:p>
          <w:p w:rsidR="00882E17" w:rsidRPr="00266C6A" w:rsidRDefault="00882E17" w:rsidP="00882E17">
            <w:pPr>
              <w:ind w:right="-1818"/>
              <w:rPr>
                <w:rFonts w:cs="Arial"/>
                <w:sz w:val="18"/>
                <w:szCs w:val="18"/>
              </w:rPr>
            </w:pPr>
          </w:p>
          <w:p w:rsidR="00882E17" w:rsidRPr="00266C6A" w:rsidRDefault="00882E17" w:rsidP="00882E17">
            <w:pPr>
              <w:rPr>
                <w:rFonts w:cs="Arial"/>
                <w:sz w:val="18"/>
                <w:szCs w:val="18"/>
              </w:rPr>
            </w:pPr>
            <w:r>
              <w:rPr>
                <w:rFonts w:cs="Arial"/>
                <w:sz w:val="18"/>
                <w:szCs w:val="18"/>
              </w:rPr>
              <w:t xml:space="preserve">    </w:t>
            </w:r>
            <w:r w:rsidRPr="00266C6A">
              <w:rPr>
                <w:rFonts w:cs="Arial"/>
                <w:sz w:val="18"/>
                <w:szCs w:val="18"/>
              </w:rPr>
              <w:t>Associate</w:t>
            </w:r>
          </w:p>
          <w:p w:rsidR="00882E17" w:rsidRPr="00266C6A" w:rsidRDefault="00882E17" w:rsidP="00882E17">
            <w:pPr>
              <w:rPr>
                <w:rFonts w:cs="Arial"/>
                <w:sz w:val="18"/>
                <w:szCs w:val="18"/>
              </w:rPr>
            </w:pPr>
            <w:r>
              <w:rPr>
                <w:rFonts w:cs="Arial"/>
                <w:sz w:val="18"/>
                <w:szCs w:val="18"/>
              </w:rPr>
              <w:t xml:space="preserve">       D</w:t>
            </w:r>
            <w:r w:rsidRPr="00266C6A">
              <w:rPr>
                <w:rFonts w:cs="Arial"/>
                <w:sz w:val="18"/>
                <w:szCs w:val="18"/>
              </w:rPr>
              <w:t>ean</w:t>
            </w:r>
          </w:p>
          <w:p w:rsidR="00882E17" w:rsidRDefault="00882E17" w:rsidP="00882E17">
            <w:pPr>
              <w:rPr>
                <w:rFonts w:cs="Arial"/>
                <w:sz w:val="18"/>
                <w:szCs w:val="18"/>
              </w:rPr>
            </w:pPr>
            <w:r>
              <w:rPr>
                <w:rFonts w:cs="Arial"/>
                <w:sz w:val="18"/>
                <w:szCs w:val="18"/>
              </w:rPr>
              <w:t xml:space="preserve">  </w:t>
            </w:r>
            <w:r w:rsidRPr="00266C6A">
              <w:rPr>
                <w:rFonts w:cs="Arial"/>
                <w:sz w:val="18"/>
                <w:szCs w:val="18"/>
              </w:rPr>
              <w:t xml:space="preserve">Institutional </w:t>
            </w:r>
          </w:p>
          <w:p w:rsidR="00882E17" w:rsidRPr="00266C6A" w:rsidRDefault="00882E17" w:rsidP="00882E17">
            <w:pPr>
              <w:rPr>
                <w:rFonts w:cs="Arial"/>
                <w:sz w:val="18"/>
                <w:szCs w:val="18"/>
              </w:rPr>
            </w:pPr>
            <w:r>
              <w:rPr>
                <w:rFonts w:cs="Arial"/>
                <w:sz w:val="18"/>
                <w:szCs w:val="18"/>
              </w:rPr>
              <w:t xml:space="preserve"> Research   &amp;                        </w:t>
            </w:r>
          </w:p>
          <w:p w:rsidR="00882E17" w:rsidRPr="00266C6A" w:rsidRDefault="00882E17" w:rsidP="00882E17">
            <w:pPr>
              <w:ind w:right="-1818"/>
              <w:rPr>
                <w:rFonts w:cs="Arial"/>
                <w:sz w:val="18"/>
                <w:szCs w:val="18"/>
              </w:rPr>
            </w:pPr>
            <w:r>
              <w:rPr>
                <w:rFonts w:cs="Arial"/>
                <w:sz w:val="18"/>
                <w:szCs w:val="18"/>
              </w:rPr>
              <w:t xml:space="preserve">     </w:t>
            </w:r>
            <w:r w:rsidRPr="00266C6A">
              <w:rPr>
                <w:rFonts w:cs="Arial"/>
                <w:sz w:val="18"/>
                <w:szCs w:val="18"/>
              </w:rPr>
              <w:t>Planning</w:t>
            </w:r>
          </w:p>
          <w:p w:rsidR="002237CE" w:rsidRPr="00662AB3" w:rsidRDefault="002237CE" w:rsidP="00266C6A">
            <w:pPr>
              <w:ind w:right="-1818"/>
              <w:rPr>
                <w:rFonts w:cs="Arial"/>
              </w:rPr>
            </w:pPr>
          </w:p>
        </w:tc>
        <w:tc>
          <w:tcPr>
            <w:tcW w:w="1530" w:type="dxa"/>
            <w:tcBorders>
              <w:bottom w:val="single" w:sz="4" w:space="0" w:color="000000" w:themeColor="text1"/>
            </w:tcBorders>
          </w:tcPr>
          <w:p w:rsidR="002237CE" w:rsidRDefault="00835077" w:rsidP="00C34964">
            <w:pPr>
              <w:ind w:right="-1818"/>
              <w:rPr>
                <w:rFonts w:cs="Arial"/>
              </w:rPr>
            </w:pPr>
            <w:r>
              <w:rPr>
                <w:rFonts w:cs="Arial"/>
              </w:rPr>
              <w:t xml:space="preserve">     </w:t>
            </w:r>
            <w:r w:rsidR="0001438B">
              <w:rPr>
                <w:rFonts w:cs="Arial"/>
              </w:rPr>
              <w:t xml:space="preserve"> Spring</w:t>
            </w:r>
          </w:p>
          <w:p w:rsidR="0001438B" w:rsidRDefault="0001438B" w:rsidP="00C34964">
            <w:pPr>
              <w:ind w:right="-1818"/>
              <w:rPr>
                <w:rFonts w:cs="Arial"/>
              </w:rPr>
            </w:pPr>
            <w:r>
              <w:rPr>
                <w:rFonts w:cs="Arial"/>
              </w:rPr>
              <w:t xml:space="preserve">       2013</w:t>
            </w: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Default="00A33205" w:rsidP="00C34964">
            <w:pPr>
              <w:ind w:right="-1818"/>
              <w:rPr>
                <w:rFonts w:cs="Arial"/>
              </w:rPr>
            </w:pPr>
          </w:p>
          <w:p w:rsidR="00A33205" w:rsidRPr="00662AB3" w:rsidRDefault="00A33205" w:rsidP="00C34964">
            <w:pPr>
              <w:ind w:right="-1818"/>
              <w:rPr>
                <w:rFonts w:cs="Arial"/>
              </w:rPr>
            </w:pPr>
          </w:p>
        </w:tc>
      </w:tr>
      <w:tr w:rsidR="00C56EDE" w:rsidRPr="00662AB3" w:rsidTr="00F33785">
        <w:tc>
          <w:tcPr>
            <w:tcW w:w="4103" w:type="dxa"/>
            <w:tcBorders>
              <w:bottom w:val="single" w:sz="4" w:space="0" w:color="000000" w:themeColor="text1"/>
            </w:tcBorders>
          </w:tcPr>
          <w:p w:rsidR="004D6C51" w:rsidRPr="00662AB3" w:rsidRDefault="00C56EDE" w:rsidP="004751BD">
            <w:pPr>
              <w:pStyle w:val="Default"/>
              <w:contextualSpacing/>
              <w:rPr>
                <w:rFonts w:asciiTheme="minorHAnsi" w:hAnsiTheme="minorHAnsi" w:cs="Arial"/>
                <w:color w:val="auto"/>
                <w:sz w:val="22"/>
                <w:szCs w:val="22"/>
              </w:rPr>
            </w:pPr>
            <w:r w:rsidRPr="00662AB3">
              <w:rPr>
                <w:rFonts w:asciiTheme="minorHAnsi" w:hAnsiTheme="minorHAnsi" w:cs="Arial"/>
                <w:color w:val="auto"/>
                <w:sz w:val="22"/>
                <w:szCs w:val="22"/>
              </w:rPr>
              <w:lastRenderedPageBreak/>
              <w:t>I.B.6. - The institution assures the effectiveness of its ongoing planning and resource allocation processes by systematically reviewing and modifying, as appropriate, all parts of the cycle, including institutional and other research efforts.</w:t>
            </w:r>
          </w:p>
          <w:p w:rsidR="004751BD" w:rsidRPr="00662AB3" w:rsidRDefault="004751BD" w:rsidP="004751BD">
            <w:pPr>
              <w:pStyle w:val="Default"/>
              <w:contextualSpacing/>
              <w:rPr>
                <w:rFonts w:asciiTheme="minorHAnsi" w:hAnsiTheme="minorHAnsi" w:cs="Arial"/>
                <w:color w:val="auto"/>
                <w:sz w:val="22"/>
                <w:szCs w:val="22"/>
              </w:rPr>
            </w:pPr>
          </w:p>
        </w:tc>
        <w:tc>
          <w:tcPr>
            <w:tcW w:w="2845" w:type="dxa"/>
            <w:tcBorders>
              <w:bottom w:val="single" w:sz="4" w:space="0" w:color="000000" w:themeColor="text1"/>
            </w:tcBorders>
          </w:tcPr>
          <w:p w:rsidR="00C5734B" w:rsidRPr="00662AB3" w:rsidRDefault="004D6C51" w:rsidP="005B15C4">
            <w:pPr>
              <w:jc w:val="center"/>
              <w:rPr>
                <w:rFonts w:cs="Arial"/>
              </w:rPr>
            </w:pPr>
            <w:r w:rsidRPr="00662AB3">
              <w:rPr>
                <w:rFonts w:cs="Arial"/>
              </w:rPr>
              <w:t xml:space="preserve">Partially </w:t>
            </w:r>
            <w:r w:rsidR="005B15C4" w:rsidRPr="00662AB3">
              <w:rPr>
                <w:rFonts w:cs="Arial"/>
              </w:rPr>
              <w:t>m</w:t>
            </w:r>
            <w:r w:rsidRPr="00662AB3">
              <w:rPr>
                <w:rFonts w:cs="Arial"/>
              </w:rPr>
              <w:t>eets</w:t>
            </w:r>
          </w:p>
          <w:p w:rsidR="005B15C4" w:rsidRPr="00662AB3" w:rsidRDefault="005B15C4" w:rsidP="005B15C4">
            <w:pPr>
              <w:jc w:val="center"/>
              <w:rPr>
                <w:rFonts w:cs="Arial"/>
              </w:rPr>
            </w:pPr>
            <w:r w:rsidRPr="00662AB3">
              <w:rPr>
                <w:rFonts w:cs="Arial"/>
              </w:rPr>
              <w:t>the standard</w:t>
            </w:r>
          </w:p>
        </w:tc>
        <w:tc>
          <w:tcPr>
            <w:tcW w:w="4500" w:type="dxa"/>
            <w:tcBorders>
              <w:bottom w:val="single" w:sz="4" w:space="0" w:color="000000" w:themeColor="text1"/>
            </w:tcBorders>
          </w:tcPr>
          <w:p w:rsidR="00C56EDE" w:rsidRPr="00662AB3" w:rsidRDefault="00C56EDE" w:rsidP="00CA1C81">
            <w:pPr>
              <w:autoSpaceDE w:val="0"/>
              <w:autoSpaceDN w:val="0"/>
              <w:adjustRightInd w:val="0"/>
              <w:rPr>
                <w:rFonts w:cs="Arial"/>
              </w:rPr>
            </w:pPr>
            <w:r w:rsidRPr="00662AB3">
              <w:rPr>
                <w:rFonts w:cs="Arial"/>
              </w:rPr>
              <w:t xml:space="preserve">Evaluate and modify, if needed, the effectiveness of the </w:t>
            </w:r>
            <w:r w:rsidR="00BA7B47" w:rsidRPr="00662AB3">
              <w:rPr>
                <w:rFonts w:cs="Arial"/>
              </w:rPr>
              <w:t xml:space="preserve">revised </w:t>
            </w:r>
            <w:r w:rsidRPr="00662AB3">
              <w:rPr>
                <w:rFonts w:cs="Arial"/>
              </w:rPr>
              <w:t xml:space="preserve">Institutional Planning Framework, including the resource allocation processes.  </w:t>
            </w:r>
          </w:p>
          <w:p w:rsidR="00C56EDE" w:rsidRPr="00662AB3" w:rsidRDefault="00C56EDE" w:rsidP="00CA1C81">
            <w:pPr>
              <w:rPr>
                <w:rFonts w:eastAsia="Times New Roman" w:cs="Arial"/>
              </w:rPr>
            </w:pPr>
          </w:p>
          <w:p w:rsidR="00C56EDE" w:rsidRPr="00662AB3" w:rsidRDefault="00C56EDE" w:rsidP="00CA1C81">
            <w:pPr>
              <w:rPr>
                <w:rFonts w:cs="Arial"/>
              </w:rPr>
            </w:pPr>
          </w:p>
        </w:tc>
        <w:tc>
          <w:tcPr>
            <w:tcW w:w="1350" w:type="dxa"/>
            <w:tcBorders>
              <w:bottom w:val="single" w:sz="4" w:space="0" w:color="000000" w:themeColor="text1"/>
            </w:tcBorders>
            <w:shd w:val="clear" w:color="auto" w:fill="DBE5F1" w:themeFill="accent1" w:themeFillTint="33"/>
          </w:tcPr>
          <w:p w:rsidR="00C56EDE" w:rsidRDefault="008C0DE0" w:rsidP="00C56EDE">
            <w:pPr>
              <w:ind w:right="-1818"/>
              <w:rPr>
                <w:rFonts w:cs="Arial"/>
              </w:rPr>
            </w:pPr>
            <w:r>
              <w:rPr>
                <w:rFonts w:cs="Arial"/>
              </w:rPr>
              <w:t xml:space="preserve">    </w:t>
            </w:r>
            <w:r w:rsidR="002237CE">
              <w:rPr>
                <w:rFonts w:cs="Arial"/>
              </w:rPr>
              <w:t>PIEAC</w:t>
            </w:r>
          </w:p>
          <w:p w:rsidR="002237CE" w:rsidRPr="00662AB3" w:rsidRDefault="002237CE" w:rsidP="00C56EDE">
            <w:pPr>
              <w:ind w:right="-1818"/>
              <w:rPr>
                <w:rFonts w:cs="Arial"/>
              </w:rPr>
            </w:pPr>
            <w:r>
              <w:rPr>
                <w:rFonts w:cs="Arial"/>
              </w:rPr>
              <w:t>Committee</w:t>
            </w:r>
          </w:p>
        </w:tc>
        <w:tc>
          <w:tcPr>
            <w:tcW w:w="1530" w:type="dxa"/>
            <w:tcBorders>
              <w:bottom w:val="single" w:sz="4" w:space="0" w:color="000000" w:themeColor="text1"/>
            </w:tcBorders>
          </w:tcPr>
          <w:p w:rsidR="00C56EDE" w:rsidRPr="00662AB3" w:rsidRDefault="00835077" w:rsidP="00C56EDE">
            <w:pPr>
              <w:ind w:right="-1818"/>
              <w:rPr>
                <w:rFonts w:cs="Arial"/>
              </w:rPr>
            </w:pPr>
            <w:r>
              <w:rPr>
                <w:rFonts w:cs="Arial"/>
              </w:rPr>
              <w:t xml:space="preserve">     </w:t>
            </w:r>
            <w:r w:rsidR="002237CE">
              <w:rPr>
                <w:rFonts w:cs="Arial"/>
              </w:rPr>
              <w:t>Annually</w:t>
            </w:r>
          </w:p>
        </w:tc>
      </w:tr>
      <w:tr w:rsidR="00C56EDE" w:rsidRPr="00662AB3" w:rsidTr="00F33785">
        <w:tc>
          <w:tcPr>
            <w:tcW w:w="4103" w:type="dxa"/>
            <w:tcBorders>
              <w:top w:val="single" w:sz="4" w:space="0" w:color="000000" w:themeColor="text1"/>
            </w:tcBorders>
          </w:tcPr>
          <w:p w:rsidR="004751BD" w:rsidRPr="00662AB3" w:rsidRDefault="00C56EDE" w:rsidP="002B45FA">
            <w:pPr>
              <w:autoSpaceDE w:val="0"/>
              <w:autoSpaceDN w:val="0"/>
              <w:adjustRightInd w:val="0"/>
              <w:rPr>
                <w:rFonts w:cs="Arial"/>
              </w:rPr>
            </w:pPr>
            <w:r w:rsidRPr="00662AB3">
              <w:rPr>
                <w:rFonts w:cs="Arial"/>
              </w:rPr>
              <w:t>II.A.2.f. - 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2B45FA" w:rsidRPr="00662AB3" w:rsidRDefault="002B45FA" w:rsidP="002B45FA">
            <w:pPr>
              <w:autoSpaceDE w:val="0"/>
              <w:autoSpaceDN w:val="0"/>
              <w:adjustRightInd w:val="0"/>
              <w:rPr>
                <w:rFonts w:cs="Arial"/>
              </w:rPr>
            </w:pPr>
          </w:p>
        </w:tc>
        <w:tc>
          <w:tcPr>
            <w:tcW w:w="2845" w:type="dxa"/>
            <w:tcBorders>
              <w:top w:val="single" w:sz="4" w:space="0" w:color="000000" w:themeColor="text1"/>
            </w:tcBorders>
          </w:tcPr>
          <w:p w:rsidR="005B15C4" w:rsidRPr="00662AB3" w:rsidRDefault="00B176BC" w:rsidP="005B15C4">
            <w:pPr>
              <w:jc w:val="center"/>
              <w:rPr>
                <w:rFonts w:cs="Arial"/>
              </w:rPr>
            </w:pPr>
            <w:r>
              <w:rPr>
                <w:rFonts w:cs="Arial"/>
              </w:rPr>
              <w:t>The College meets the Standard but it seeks to improve so that it may reach the level of sustainability on the Commission’s Quality SLO Rubric.</w:t>
            </w:r>
          </w:p>
          <w:p w:rsidR="005B15C4" w:rsidRPr="00662AB3" w:rsidRDefault="005B15C4" w:rsidP="005B15C4">
            <w:pPr>
              <w:autoSpaceDE w:val="0"/>
              <w:autoSpaceDN w:val="0"/>
              <w:adjustRightInd w:val="0"/>
              <w:jc w:val="center"/>
              <w:rPr>
                <w:rFonts w:cs="Arial"/>
              </w:rPr>
            </w:pPr>
          </w:p>
          <w:p w:rsidR="00C5734B" w:rsidRPr="00662AB3" w:rsidRDefault="00C5734B" w:rsidP="005B15C4">
            <w:pPr>
              <w:autoSpaceDE w:val="0"/>
              <w:autoSpaceDN w:val="0"/>
              <w:adjustRightInd w:val="0"/>
              <w:jc w:val="center"/>
              <w:rPr>
                <w:rFonts w:cs="Arial"/>
              </w:rPr>
            </w:pPr>
          </w:p>
        </w:tc>
        <w:tc>
          <w:tcPr>
            <w:tcW w:w="4500" w:type="dxa"/>
            <w:tcBorders>
              <w:top w:val="single" w:sz="4" w:space="0" w:color="000000" w:themeColor="text1"/>
            </w:tcBorders>
          </w:tcPr>
          <w:p w:rsidR="005B15C4" w:rsidRPr="00662AB3" w:rsidRDefault="005B15C4" w:rsidP="005B15C4">
            <w:pPr>
              <w:autoSpaceDE w:val="0"/>
              <w:autoSpaceDN w:val="0"/>
              <w:adjustRightInd w:val="0"/>
              <w:rPr>
                <w:rFonts w:cs="Arial"/>
              </w:rPr>
            </w:pPr>
            <w:r w:rsidRPr="00662AB3">
              <w:rPr>
                <w:rFonts w:cs="Arial"/>
              </w:rPr>
              <w:t>In Spring 2013 evaluate the efficacy of Seaport</w:t>
            </w:r>
            <w:r w:rsidRPr="00662AB3">
              <w:rPr>
                <w:rFonts w:cs="Arial"/>
                <w:vertAlign w:val="superscript"/>
              </w:rPr>
              <w:t>3</w:t>
            </w:r>
            <w:r w:rsidRPr="00662AB3">
              <w:rPr>
                <w:rFonts w:cs="Arial"/>
              </w:rPr>
              <w:t xml:space="preserve"> SLO technical applications and related procedures to collect useful student achievement data and to effect improvements in student outcomes. </w:t>
            </w:r>
          </w:p>
          <w:p w:rsidR="00C56EDE" w:rsidRPr="00662AB3" w:rsidRDefault="00C56EDE" w:rsidP="005B15C4">
            <w:pPr>
              <w:autoSpaceDE w:val="0"/>
              <w:autoSpaceDN w:val="0"/>
              <w:adjustRightInd w:val="0"/>
              <w:rPr>
                <w:rFonts w:cs="Arial"/>
              </w:rPr>
            </w:pPr>
          </w:p>
        </w:tc>
        <w:tc>
          <w:tcPr>
            <w:tcW w:w="1350" w:type="dxa"/>
            <w:tcBorders>
              <w:top w:val="single" w:sz="4" w:space="0" w:color="000000" w:themeColor="text1"/>
            </w:tcBorders>
            <w:shd w:val="clear" w:color="auto" w:fill="DBE5F1" w:themeFill="accent1" w:themeFillTint="33"/>
          </w:tcPr>
          <w:p w:rsidR="004D6C51" w:rsidRPr="00662AB3" w:rsidRDefault="00E479EB" w:rsidP="004D6C51">
            <w:pPr>
              <w:jc w:val="center"/>
              <w:rPr>
                <w:rFonts w:cs="Arial"/>
              </w:rPr>
            </w:pPr>
            <w:r w:rsidRPr="00662AB3">
              <w:rPr>
                <w:rFonts w:cs="Arial"/>
              </w:rPr>
              <w:t>SLO Coordinator</w:t>
            </w:r>
          </w:p>
        </w:tc>
        <w:tc>
          <w:tcPr>
            <w:tcW w:w="1530" w:type="dxa"/>
            <w:tcBorders>
              <w:top w:val="single" w:sz="4" w:space="0" w:color="000000" w:themeColor="text1"/>
            </w:tcBorders>
          </w:tcPr>
          <w:p w:rsidR="00835077" w:rsidRDefault="00835077" w:rsidP="00835077">
            <w:pPr>
              <w:rPr>
                <w:rFonts w:cs="Arial"/>
              </w:rPr>
            </w:pPr>
            <w:r>
              <w:rPr>
                <w:rFonts w:cs="Arial"/>
              </w:rPr>
              <w:t xml:space="preserve">      </w:t>
            </w:r>
            <w:r w:rsidR="005B15C4" w:rsidRPr="00662AB3">
              <w:rPr>
                <w:rFonts w:cs="Arial"/>
              </w:rPr>
              <w:t xml:space="preserve">Spring </w:t>
            </w:r>
          </w:p>
          <w:p w:rsidR="00C56EDE" w:rsidRPr="00662AB3" w:rsidRDefault="00835077" w:rsidP="00835077">
            <w:pPr>
              <w:rPr>
                <w:rFonts w:cs="Arial"/>
              </w:rPr>
            </w:pPr>
            <w:r>
              <w:rPr>
                <w:rFonts w:cs="Arial"/>
              </w:rPr>
              <w:t xml:space="preserve">       </w:t>
            </w:r>
            <w:r w:rsidR="005B15C4" w:rsidRPr="00662AB3">
              <w:rPr>
                <w:rFonts w:cs="Arial"/>
              </w:rPr>
              <w:t>2013</w:t>
            </w:r>
          </w:p>
        </w:tc>
      </w:tr>
      <w:tr w:rsidR="00C56EDE" w:rsidRPr="00662AB3" w:rsidTr="00F33785">
        <w:tc>
          <w:tcPr>
            <w:tcW w:w="4103" w:type="dxa"/>
          </w:tcPr>
          <w:p w:rsidR="00C56EDE" w:rsidRPr="00662AB3" w:rsidRDefault="00C56EDE" w:rsidP="007B3C92">
            <w:pPr>
              <w:pStyle w:val="Default"/>
              <w:contextualSpacing/>
              <w:rPr>
                <w:rFonts w:asciiTheme="minorHAnsi" w:hAnsiTheme="minorHAnsi" w:cs="Arial"/>
                <w:color w:val="auto"/>
                <w:sz w:val="22"/>
                <w:szCs w:val="22"/>
              </w:rPr>
            </w:pPr>
            <w:r w:rsidRPr="00662AB3">
              <w:rPr>
                <w:rFonts w:asciiTheme="minorHAnsi" w:hAnsiTheme="minorHAnsi" w:cs="Arial"/>
                <w:color w:val="auto"/>
                <w:sz w:val="22"/>
                <w:szCs w:val="22"/>
              </w:rPr>
              <w:t xml:space="preserve">II.B.3.e. - The institution regularly evaluates admissions and placement instruments and practices to validate their effectiveness while minimizing biases. </w:t>
            </w:r>
          </w:p>
          <w:p w:rsidR="00C56EDE" w:rsidRPr="00662AB3" w:rsidRDefault="00C56EDE" w:rsidP="007B3C92">
            <w:pPr>
              <w:pStyle w:val="Default"/>
              <w:contextualSpacing/>
              <w:rPr>
                <w:rFonts w:asciiTheme="minorHAnsi" w:hAnsiTheme="minorHAnsi" w:cs="Arial"/>
                <w:color w:val="auto"/>
                <w:sz w:val="22"/>
                <w:szCs w:val="22"/>
              </w:rPr>
            </w:pPr>
          </w:p>
          <w:p w:rsidR="00662AB3" w:rsidRDefault="00662AB3" w:rsidP="007B3C92">
            <w:pPr>
              <w:pStyle w:val="Default"/>
              <w:contextualSpacing/>
              <w:rPr>
                <w:rFonts w:asciiTheme="minorHAnsi" w:hAnsiTheme="minorHAnsi" w:cs="Arial"/>
                <w:color w:val="auto"/>
                <w:sz w:val="22"/>
                <w:szCs w:val="22"/>
              </w:rPr>
            </w:pPr>
          </w:p>
          <w:p w:rsidR="00B73388" w:rsidRPr="00662AB3" w:rsidRDefault="00B73388" w:rsidP="007B3C92">
            <w:pPr>
              <w:pStyle w:val="Default"/>
              <w:contextualSpacing/>
              <w:rPr>
                <w:rFonts w:asciiTheme="minorHAnsi" w:hAnsiTheme="minorHAnsi" w:cs="Arial"/>
                <w:color w:val="auto"/>
                <w:sz w:val="22"/>
                <w:szCs w:val="22"/>
              </w:rPr>
            </w:pPr>
          </w:p>
          <w:p w:rsidR="004751BD" w:rsidRDefault="004751BD" w:rsidP="007B3C92">
            <w:pPr>
              <w:pStyle w:val="Default"/>
              <w:contextualSpacing/>
              <w:rPr>
                <w:rFonts w:asciiTheme="minorHAnsi" w:hAnsiTheme="minorHAnsi" w:cs="Arial"/>
                <w:color w:val="auto"/>
                <w:sz w:val="22"/>
                <w:szCs w:val="22"/>
              </w:rPr>
            </w:pPr>
          </w:p>
          <w:p w:rsidR="00265B3E" w:rsidRDefault="00265B3E" w:rsidP="007B3C92">
            <w:pPr>
              <w:pStyle w:val="Default"/>
              <w:contextualSpacing/>
              <w:rPr>
                <w:rFonts w:asciiTheme="minorHAnsi" w:hAnsiTheme="minorHAnsi" w:cs="Arial"/>
                <w:color w:val="auto"/>
                <w:sz w:val="22"/>
                <w:szCs w:val="22"/>
              </w:rPr>
            </w:pPr>
          </w:p>
          <w:p w:rsidR="00265B3E" w:rsidRPr="00662AB3" w:rsidRDefault="00265B3E" w:rsidP="007B3C92">
            <w:pPr>
              <w:pStyle w:val="Default"/>
              <w:contextualSpacing/>
              <w:rPr>
                <w:rFonts w:asciiTheme="minorHAnsi" w:hAnsiTheme="minorHAnsi" w:cs="Arial"/>
                <w:color w:val="auto"/>
                <w:sz w:val="22"/>
                <w:szCs w:val="22"/>
              </w:rPr>
            </w:pPr>
          </w:p>
          <w:p w:rsidR="004751BD" w:rsidRPr="00662AB3" w:rsidRDefault="004751BD" w:rsidP="007B3C92">
            <w:pPr>
              <w:pStyle w:val="Default"/>
              <w:contextualSpacing/>
              <w:rPr>
                <w:rFonts w:asciiTheme="minorHAnsi" w:hAnsiTheme="minorHAnsi" w:cs="Arial"/>
                <w:color w:val="auto"/>
                <w:sz w:val="22"/>
                <w:szCs w:val="22"/>
              </w:rPr>
            </w:pPr>
          </w:p>
          <w:p w:rsidR="004751BD" w:rsidRPr="00662AB3" w:rsidRDefault="004751BD" w:rsidP="007B3C92">
            <w:pPr>
              <w:pStyle w:val="Default"/>
              <w:contextualSpacing/>
              <w:rPr>
                <w:rFonts w:asciiTheme="minorHAnsi" w:hAnsiTheme="minorHAnsi" w:cs="Arial"/>
                <w:color w:val="auto"/>
                <w:sz w:val="22"/>
                <w:szCs w:val="22"/>
              </w:rPr>
            </w:pPr>
          </w:p>
          <w:p w:rsidR="004751BD" w:rsidRPr="00662AB3" w:rsidRDefault="004751BD" w:rsidP="007B3C92">
            <w:pPr>
              <w:pStyle w:val="Default"/>
              <w:contextualSpacing/>
              <w:rPr>
                <w:rFonts w:asciiTheme="minorHAnsi" w:hAnsiTheme="minorHAnsi" w:cs="Arial"/>
                <w:color w:val="auto"/>
                <w:sz w:val="22"/>
                <w:szCs w:val="22"/>
              </w:rPr>
            </w:pPr>
          </w:p>
          <w:p w:rsidR="004751BD" w:rsidRPr="00662AB3" w:rsidRDefault="004751BD" w:rsidP="007B3C92">
            <w:pPr>
              <w:pStyle w:val="Default"/>
              <w:contextualSpacing/>
              <w:rPr>
                <w:rFonts w:asciiTheme="minorHAnsi" w:hAnsiTheme="minorHAnsi" w:cs="Arial"/>
                <w:color w:val="auto"/>
                <w:sz w:val="22"/>
                <w:szCs w:val="22"/>
              </w:rPr>
            </w:pPr>
          </w:p>
        </w:tc>
        <w:tc>
          <w:tcPr>
            <w:tcW w:w="2845" w:type="dxa"/>
          </w:tcPr>
          <w:p w:rsidR="005B15C4" w:rsidRPr="00662AB3" w:rsidRDefault="005B15C4" w:rsidP="005B15C4">
            <w:pPr>
              <w:jc w:val="center"/>
              <w:rPr>
                <w:rFonts w:cs="Arial"/>
              </w:rPr>
            </w:pPr>
            <w:r w:rsidRPr="00662AB3">
              <w:rPr>
                <w:rFonts w:cs="Arial"/>
              </w:rPr>
              <w:t>Partially meets</w:t>
            </w:r>
          </w:p>
          <w:p w:rsidR="005B15C4" w:rsidRPr="00662AB3" w:rsidRDefault="005B15C4" w:rsidP="005B15C4">
            <w:pPr>
              <w:jc w:val="center"/>
              <w:rPr>
                <w:rFonts w:cs="Arial"/>
              </w:rPr>
            </w:pPr>
            <w:r w:rsidRPr="00662AB3">
              <w:rPr>
                <w:rFonts w:cs="Arial"/>
              </w:rPr>
              <w:t>the standard</w:t>
            </w:r>
          </w:p>
          <w:p w:rsidR="005B15C4" w:rsidRPr="00662AB3" w:rsidRDefault="005B15C4" w:rsidP="005B15C4">
            <w:pPr>
              <w:jc w:val="center"/>
              <w:rPr>
                <w:rFonts w:cs="Arial"/>
                <w:color w:val="C00000"/>
              </w:rPr>
            </w:pPr>
          </w:p>
          <w:p w:rsidR="00C5734B" w:rsidRPr="00662AB3" w:rsidRDefault="00C5734B" w:rsidP="00C5734B">
            <w:pPr>
              <w:jc w:val="center"/>
              <w:rPr>
                <w:rFonts w:cs="Arial"/>
              </w:rPr>
            </w:pPr>
          </w:p>
          <w:p w:rsidR="00C5734B" w:rsidRPr="00662AB3" w:rsidRDefault="00C5734B" w:rsidP="00CA1C81">
            <w:pPr>
              <w:autoSpaceDE w:val="0"/>
              <w:autoSpaceDN w:val="0"/>
              <w:adjustRightInd w:val="0"/>
              <w:rPr>
                <w:rFonts w:cs="Arial"/>
              </w:rPr>
            </w:pPr>
          </w:p>
        </w:tc>
        <w:tc>
          <w:tcPr>
            <w:tcW w:w="4500" w:type="dxa"/>
          </w:tcPr>
          <w:p w:rsidR="007A23D2" w:rsidRPr="00662AB3" w:rsidRDefault="00C56EDE" w:rsidP="004751BD">
            <w:pPr>
              <w:autoSpaceDE w:val="0"/>
              <w:autoSpaceDN w:val="0"/>
              <w:adjustRightInd w:val="0"/>
              <w:rPr>
                <w:rFonts w:cs="Arial"/>
              </w:rPr>
            </w:pPr>
            <w:r w:rsidRPr="00662AB3">
              <w:rPr>
                <w:rFonts w:cs="Arial"/>
              </w:rPr>
              <w:t>Evaluate the effectiveness and fairness of placement exams and practices used with students in international programs.</w:t>
            </w:r>
            <w:r w:rsidRPr="00662AB3">
              <w:rPr>
                <w:rFonts w:cs="Arial"/>
                <w:color w:val="000000"/>
              </w:rPr>
              <w:t xml:space="preserve">  (Same as </w:t>
            </w:r>
            <w:r w:rsidRPr="00662AB3">
              <w:rPr>
                <w:rFonts w:cs="Arial"/>
              </w:rPr>
              <w:t>EBUS II.B.</w:t>
            </w:r>
            <w:r w:rsidRPr="00662AB3">
              <w:rPr>
                <w:rFonts w:cs="Arial"/>
                <w:bCs/>
              </w:rPr>
              <w:t>3.</w:t>
            </w:r>
            <w:r w:rsidRPr="00662AB3">
              <w:rPr>
                <w:rFonts w:cs="Arial"/>
              </w:rPr>
              <w:t>e.)</w:t>
            </w:r>
          </w:p>
          <w:p w:rsidR="007A23D2" w:rsidRPr="00662AB3" w:rsidRDefault="007A23D2" w:rsidP="00CA1C81">
            <w:pPr>
              <w:rPr>
                <w:rFonts w:cs="Arial"/>
              </w:rPr>
            </w:pPr>
          </w:p>
          <w:p w:rsidR="002702A0" w:rsidRPr="00662AB3" w:rsidRDefault="002702A0" w:rsidP="00CA1C81">
            <w:pPr>
              <w:rPr>
                <w:rFonts w:cs="Arial"/>
              </w:rPr>
            </w:pPr>
          </w:p>
          <w:p w:rsidR="004751BD" w:rsidRPr="00662AB3" w:rsidRDefault="004751BD" w:rsidP="00CA1C81">
            <w:pPr>
              <w:rPr>
                <w:rFonts w:cs="Arial"/>
              </w:rPr>
            </w:pPr>
          </w:p>
          <w:p w:rsidR="004751BD" w:rsidRPr="00662AB3" w:rsidRDefault="004751BD" w:rsidP="00CA1C81">
            <w:pPr>
              <w:rPr>
                <w:rFonts w:cs="Arial"/>
              </w:rPr>
            </w:pPr>
          </w:p>
          <w:p w:rsidR="004751BD" w:rsidRPr="00662AB3" w:rsidRDefault="004751BD" w:rsidP="00CA1C81">
            <w:pPr>
              <w:rPr>
                <w:rFonts w:cs="Arial"/>
              </w:rPr>
            </w:pPr>
          </w:p>
        </w:tc>
        <w:tc>
          <w:tcPr>
            <w:tcW w:w="1350" w:type="dxa"/>
            <w:shd w:val="clear" w:color="auto" w:fill="DBE5F1" w:themeFill="accent1" w:themeFillTint="33"/>
          </w:tcPr>
          <w:p w:rsidR="003972A9" w:rsidRDefault="003972A9" w:rsidP="00E479EB">
            <w:pPr>
              <w:jc w:val="center"/>
              <w:rPr>
                <w:rFonts w:cs="Arial"/>
              </w:rPr>
            </w:pPr>
            <w:r>
              <w:rPr>
                <w:rFonts w:cs="Arial"/>
              </w:rPr>
              <w:t>Associate</w:t>
            </w:r>
          </w:p>
          <w:p w:rsidR="003972A9" w:rsidRDefault="003972A9" w:rsidP="00E479EB">
            <w:pPr>
              <w:jc w:val="center"/>
              <w:rPr>
                <w:rFonts w:cs="Arial"/>
              </w:rPr>
            </w:pPr>
            <w:r>
              <w:rPr>
                <w:rFonts w:cs="Arial"/>
              </w:rPr>
              <w:t>Dean</w:t>
            </w:r>
          </w:p>
          <w:p w:rsidR="008C0DE0" w:rsidRDefault="002237CE" w:rsidP="00E479EB">
            <w:pPr>
              <w:jc w:val="center"/>
              <w:rPr>
                <w:rFonts w:cs="Arial"/>
              </w:rPr>
            </w:pPr>
            <w:r>
              <w:rPr>
                <w:rFonts w:cs="Arial"/>
              </w:rPr>
              <w:t xml:space="preserve">Institutional </w:t>
            </w:r>
            <w:r w:rsidR="008C0DE0">
              <w:rPr>
                <w:rFonts w:cs="Arial"/>
              </w:rPr>
              <w:t xml:space="preserve">Research </w:t>
            </w:r>
            <w:r>
              <w:rPr>
                <w:rFonts w:cs="Arial"/>
              </w:rPr>
              <w:t>&amp;</w:t>
            </w:r>
          </w:p>
          <w:p w:rsidR="00C56EDE" w:rsidRPr="00662AB3" w:rsidRDefault="002237CE" w:rsidP="00E479EB">
            <w:pPr>
              <w:jc w:val="center"/>
              <w:rPr>
                <w:rFonts w:cs="Arial"/>
              </w:rPr>
            </w:pPr>
            <w:r>
              <w:rPr>
                <w:rFonts w:cs="Arial"/>
              </w:rPr>
              <w:t xml:space="preserve"> Planning </w:t>
            </w:r>
          </w:p>
        </w:tc>
        <w:tc>
          <w:tcPr>
            <w:tcW w:w="1530" w:type="dxa"/>
          </w:tcPr>
          <w:p w:rsidR="00835077" w:rsidRDefault="00835077">
            <w:pPr>
              <w:rPr>
                <w:rFonts w:cs="Arial"/>
              </w:rPr>
            </w:pPr>
            <w:r>
              <w:rPr>
                <w:rFonts w:cs="Arial"/>
              </w:rPr>
              <w:t xml:space="preserve">      </w:t>
            </w:r>
            <w:r w:rsidR="002237CE">
              <w:rPr>
                <w:rFonts w:cs="Arial"/>
              </w:rPr>
              <w:t>Spring</w:t>
            </w:r>
          </w:p>
          <w:p w:rsidR="00C56EDE" w:rsidRDefault="00835077">
            <w:pPr>
              <w:rPr>
                <w:rFonts w:cs="Arial"/>
              </w:rPr>
            </w:pPr>
            <w:r>
              <w:rPr>
                <w:rFonts w:cs="Arial"/>
              </w:rPr>
              <w:t xml:space="preserve">      </w:t>
            </w:r>
            <w:r w:rsidR="002237CE">
              <w:rPr>
                <w:rFonts w:cs="Arial"/>
              </w:rPr>
              <w:t xml:space="preserve"> 2014</w:t>
            </w: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Default="00A33205">
            <w:pPr>
              <w:rPr>
                <w:rFonts w:cs="Arial"/>
              </w:rPr>
            </w:pPr>
          </w:p>
          <w:p w:rsidR="00A33205" w:rsidRPr="00662AB3" w:rsidRDefault="00A33205">
            <w:pPr>
              <w:rPr>
                <w:rFonts w:cs="Arial"/>
              </w:rPr>
            </w:pPr>
          </w:p>
        </w:tc>
      </w:tr>
      <w:tr w:rsidR="00C56EDE" w:rsidRPr="00662AB3" w:rsidTr="00F33785">
        <w:trPr>
          <w:trHeight w:val="224"/>
        </w:trPr>
        <w:tc>
          <w:tcPr>
            <w:tcW w:w="4103" w:type="dxa"/>
          </w:tcPr>
          <w:p w:rsidR="00174E05" w:rsidRPr="00662AB3" w:rsidRDefault="00C56EDE" w:rsidP="002702A0">
            <w:pPr>
              <w:rPr>
                <w:rFonts w:cs="Arial"/>
              </w:rPr>
            </w:pPr>
            <w:r w:rsidRPr="00662AB3">
              <w:rPr>
                <w:rFonts w:cs="Arial"/>
              </w:rPr>
              <w:lastRenderedPageBreak/>
              <w:t>II.C.1. - The institution supports the quality of its instructional programs by providing library and other learning support services that are sufficient in quantity, currency, depth, and variety to facilitate educational offerings, regardless of location or mean</w:t>
            </w:r>
            <w:r w:rsidR="00383E84" w:rsidRPr="00662AB3">
              <w:rPr>
                <w:rFonts w:cs="Arial"/>
              </w:rPr>
              <w:t>s of delivery.</w:t>
            </w:r>
          </w:p>
          <w:p w:rsidR="004751BD" w:rsidRPr="00662AB3" w:rsidRDefault="004751BD" w:rsidP="002702A0">
            <w:pPr>
              <w:rPr>
                <w:rFonts w:cs="Arial"/>
              </w:rPr>
            </w:pPr>
          </w:p>
        </w:tc>
        <w:tc>
          <w:tcPr>
            <w:tcW w:w="2845" w:type="dxa"/>
          </w:tcPr>
          <w:p w:rsidR="00261393" w:rsidRPr="00662AB3" w:rsidRDefault="005B15C4" w:rsidP="007C59C4">
            <w:pPr>
              <w:jc w:val="center"/>
              <w:rPr>
                <w:rFonts w:cs="Arial"/>
              </w:rPr>
            </w:pPr>
            <w:r w:rsidRPr="00662AB3">
              <w:rPr>
                <w:rFonts w:cs="Arial"/>
              </w:rPr>
              <w:t xml:space="preserve">Meets the standard; </w:t>
            </w:r>
            <w:r w:rsidR="007C59C4">
              <w:rPr>
                <w:rFonts w:cs="Arial"/>
              </w:rPr>
              <w:t>but the college could do a better job of making</w:t>
            </w:r>
            <w:r w:rsidRPr="00662AB3">
              <w:rPr>
                <w:rFonts w:cs="Arial"/>
              </w:rPr>
              <w:t xml:space="preserve"> student aware </w:t>
            </w:r>
            <w:r w:rsidR="004751BD" w:rsidRPr="00662AB3">
              <w:rPr>
                <w:rFonts w:cs="Arial"/>
              </w:rPr>
              <w:t>of services</w:t>
            </w:r>
            <w:r w:rsidRPr="00662AB3">
              <w:rPr>
                <w:rFonts w:cs="Arial"/>
              </w:rPr>
              <w:t xml:space="preserve"> and learning resources available to them.</w:t>
            </w:r>
          </w:p>
        </w:tc>
        <w:tc>
          <w:tcPr>
            <w:tcW w:w="4500" w:type="dxa"/>
          </w:tcPr>
          <w:p w:rsidR="00C56EDE" w:rsidRPr="00662AB3" w:rsidRDefault="00C56EDE" w:rsidP="00CA1C81">
            <w:pPr>
              <w:rPr>
                <w:rFonts w:cs="Arial"/>
              </w:rPr>
            </w:pPr>
            <w:r w:rsidRPr="00662AB3">
              <w:rPr>
                <w:rFonts w:cs="Arial"/>
              </w:rPr>
              <w:t xml:space="preserve">Coastline will develop strategies to increase student and faculty awareness and use of library and learning support resources and services to promote student success.  </w:t>
            </w:r>
          </w:p>
          <w:p w:rsidR="00C56EDE" w:rsidRPr="00662AB3" w:rsidRDefault="00C56EDE" w:rsidP="00CA1C81">
            <w:pPr>
              <w:ind w:firstLine="720"/>
              <w:rPr>
                <w:rFonts w:cs="Arial"/>
              </w:rPr>
            </w:pPr>
          </w:p>
        </w:tc>
        <w:tc>
          <w:tcPr>
            <w:tcW w:w="1350" w:type="dxa"/>
            <w:shd w:val="clear" w:color="auto" w:fill="DBE5F1" w:themeFill="accent1" w:themeFillTint="33"/>
          </w:tcPr>
          <w:p w:rsidR="008C0DE0" w:rsidRDefault="008C0DE0" w:rsidP="008C0DE0">
            <w:pPr>
              <w:rPr>
                <w:rFonts w:cs="Arial"/>
              </w:rPr>
            </w:pPr>
            <w:r>
              <w:rPr>
                <w:rFonts w:cs="Arial"/>
              </w:rPr>
              <w:t xml:space="preserve">    </w:t>
            </w:r>
            <w:r w:rsidR="00F43707" w:rsidRPr="00662AB3">
              <w:rPr>
                <w:rFonts w:cs="Arial"/>
              </w:rPr>
              <w:t xml:space="preserve">Librarian </w:t>
            </w:r>
          </w:p>
          <w:p w:rsidR="00C56EDE" w:rsidRPr="00662AB3" w:rsidRDefault="008C0DE0" w:rsidP="008C0DE0">
            <w:pPr>
              <w:jc w:val="center"/>
              <w:rPr>
                <w:rFonts w:cs="Arial"/>
              </w:rPr>
            </w:pPr>
            <w:r>
              <w:rPr>
                <w:rFonts w:cs="Arial"/>
              </w:rPr>
              <w:t>&amp;</w:t>
            </w:r>
            <w:r w:rsidR="00F43707" w:rsidRPr="00662AB3">
              <w:rPr>
                <w:rFonts w:cs="Arial"/>
              </w:rPr>
              <w:t xml:space="preserve"> </w:t>
            </w:r>
            <w:r>
              <w:rPr>
                <w:rFonts w:cs="Arial"/>
              </w:rPr>
              <w:t xml:space="preserve">             </w:t>
            </w:r>
            <w:r w:rsidR="00F43707" w:rsidRPr="00662AB3">
              <w:rPr>
                <w:rFonts w:cs="Arial"/>
              </w:rPr>
              <w:t>Student Success Coordinator</w:t>
            </w:r>
          </w:p>
        </w:tc>
        <w:tc>
          <w:tcPr>
            <w:tcW w:w="1530" w:type="dxa"/>
          </w:tcPr>
          <w:p w:rsidR="00835077" w:rsidRDefault="00835077">
            <w:pPr>
              <w:rPr>
                <w:rFonts w:cs="Arial"/>
              </w:rPr>
            </w:pPr>
            <w:r>
              <w:rPr>
                <w:rFonts w:cs="Arial"/>
              </w:rPr>
              <w:t xml:space="preserve">      </w:t>
            </w:r>
            <w:r w:rsidR="002237CE">
              <w:rPr>
                <w:rFonts w:cs="Arial"/>
              </w:rPr>
              <w:t>Spring</w:t>
            </w:r>
          </w:p>
          <w:p w:rsidR="00C56EDE" w:rsidRPr="00662AB3" w:rsidRDefault="00835077">
            <w:pPr>
              <w:rPr>
                <w:rFonts w:cs="Arial"/>
              </w:rPr>
            </w:pPr>
            <w:r>
              <w:rPr>
                <w:rFonts w:cs="Arial"/>
              </w:rPr>
              <w:t xml:space="preserve">   </w:t>
            </w:r>
            <w:r w:rsidR="002237CE">
              <w:rPr>
                <w:rFonts w:cs="Arial"/>
              </w:rPr>
              <w:t xml:space="preserve"> </w:t>
            </w:r>
            <w:r>
              <w:rPr>
                <w:rFonts w:cs="Arial"/>
              </w:rPr>
              <w:t xml:space="preserve">    </w:t>
            </w:r>
            <w:r w:rsidR="002237CE">
              <w:rPr>
                <w:rFonts w:cs="Arial"/>
              </w:rPr>
              <w:t>2013</w:t>
            </w:r>
          </w:p>
        </w:tc>
      </w:tr>
      <w:tr w:rsidR="00C56EDE" w:rsidRPr="00662AB3" w:rsidTr="00F33785">
        <w:tc>
          <w:tcPr>
            <w:tcW w:w="4103" w:type="dxa"/>
          </w:tcPr>
          <w:p w:rsidR="00C56EDE" w:rsidRPr="00662AB3" w:rsidRDefault="00C56EDE" w:rsidP="007D7961">
            <w:pPr>
              <w:rPr>
                <w:rFonts w:cs="Arial"/>
              </w:rPr>
            </w:pPr>
            <w:r w:rsidRPr="00662AB3">
              <w:rPr>
                <w:rFonts w:cs="Arial"/>
              </w:rPr>
              <w:t>II.C.2. - 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p w:rsidR="00C56EDE" w:rsidRPr="00662AB3" w:rsidRDefault="00C56EDE" w:rsidP="00BA7B47">
            <w:pPr>
              <w:rPr>
                <w:rFonts w:cs="Arial"/>
              </w:rPr>
            </w:pPr>
          </w:p>
        </w:tc>
        <w:tc>
          <w:tcPr>
            <w:tcW w:w="2845" w:type="dxa"/>
          </w:tcPr>
          <w:p w:rsidR="005B15C4" w:rsidRPr="00662AB3" w:rsidRDefault="005B15C4" w:rsidP="005B15C4">
            <w:pPr>
              <w:jc w:val="center"/>
              <w:rPr>
                <w:rFonts w:cs="Arial"/>
              </w:rPr>
            </w:pPr>
            <w:r w:rsidRPr="00662AB3">
              <w:rPr>
                <w:rFonts w:cs="Arial"/>
              </w:rPr>
              <w:t xml:space="preserve">Meets the standard; however, the college </w:t>
            </w:r>
            <w:r w:rsidR="00BA7B47" w:rsidRPr="00662AB3">
              <w:rPr>
                <w:rFonts w:cs="Arial"/>
              </w:rPr>
              <w:t>wants to improve.</w:t>
            </w:r>
          </w:p>
          <w:p w:rsidR="00261393" w:rsidRPr="00662AB3" w:rsidRDefault="00261393" w:rsidP="005B15C4">
            <w:pPr>
              <w:jc w:val="center"/>
              <w:rPr>
                <w:rFonts w:cs="Arial"/>
              </w:rPr>
            </w:pPr>
          </w:p>
        </w:tc>
        <w:tc>
          <w:tcPr>
            <w:tcW w:w="4500" w:type="dxa"/>
          </w:tcPr>
          <w:p w:rsidR="005B15C4" w:rsidRPr="00662AB3" w:rsidRDefault="005B15C4" w:rsidP="005B15C4">
            <w:pPr>
              <w:autoSpaceDE w:val="0"/>
              <w:autoSpaceDN w:val="0"/>
              <w:adjustRightInd w:val="0"/>
              <w:rPr>
                <w:rFonts w:cs="Arial"/>
              </w:rPr>
            </w:pPr>
            <w:r w:rsidRPr="00662AB3">
              <w:rPr>
                <w:rFonts w:cs="Arial"/>
              </w:rPr>
              <w:t xml:space="preserve">Develop </w:t>
            </w:r>
            <w:r w:rsidR="00BA7B47" w:rsidRPr="00662AB3">
              <w:rPr>
                <w:rFonts w:cs="Arial"/>
              </w:rPr>
              <w:t xml:space="preserve">and assess Student Learning Outcomes and goals for the </w:t>
            </w:r>
            <w:r w:rsidRPr="00662AB3">
              <w:rPr>
                <w:rFonts w:cs="Arial"/>
              </w:rPr>
              <w:t>Information Common</w:t>
            </w:r>
            <w:r w:rsidR="00BA7B47" w:rsidRPr="00662AB3">
              <w:rPr>
                <w:rFonts w:cs="Arial"/>
              </w:rPr>
              <w:t>s as a Learning Support Center.</w:t>
            </w:r>
            <w:r w:rsidRPr="00662AB3">
              <w:rPr>
                <w:rFonts w:cs="Arial"/>
              </w:rPr>
              <w:t xml:space="preserve">  </w:t>
            </w:r>
          </w:p>
          <w:p w:rsidR="00C56EDE" w:rsidRPr="00662AB3" w:rsidRDefault="00C56EDE" w:rsidP="00CA1C81">
            <w:pPr>
              <w:autoSpaceDE w:val="0"/>
              <w:autoSpaceDN w:val="0"/>
              <w:adjustRightInd w:val="0"/>
              <w:rPr>
                <w:rFonts w:cs="Arial"/>
              </w:rPr>
            </w:pPr>
          </w:p>
          <w:p w:rsidR="00C56EDE" w:rsidRPr="00662AB3" w:rsidRDefault="00C56EDE" w:rsidP="00CA1C81">
            <w:pPr>
              <w:pStyle w:val="Default"/>
              <w:tabs>
                <w:tab w:val="left" w:pos="2250"/>
              </w:tabs>
              <w:contextualSpacing/>
              <w:rPr>
                <w:rFonts w:asciiTheme="minorHAnsi" w:hAnsiTheme="minorHAnsi" w:cs="Arial"/>
                <w:color w:val="auto"/>
                <w:sz w:val="22"/>
                <w:szCs w:val="22"/>
              </w:rPr>
            </w:pPr>
          </w:p>
          <w:p w:rsidR="00C56EDE" w:rsidRPr="00662AB3" w:rsidRDefault="00C56EDE" w:rsidP="00CA1C81">
            <w:pPr>
              <w:rPr>
                <w:rFonts w:cs="Arial"/>
              </w:rPr>
            </w:pPr>
          </w:p>
        </w:tc>
        <w:tc>
          <w:tcPr>
            <w:tcW w:w="1350" w:type="dxa"/>
            <w:shd w:val="clear" w:color="auto" w:fill="DBE5F1" w:themeFill="accent1" w:themeFillTint="33"/>
          </w:tcPr>
          <w:p w:rsidR="002237CE" w:rsidRDefault="002237CE" w:rsidP="002237CE">
            <w:pPr>
              <w:jc w:val="center"/>
              <w:rPr>
                <w:rFonts w:cs="Arial"/>
              </w:rPr>
            </w:pPr>
            <w:r>
              <w:rPr>
                <w:rFonts w:cs="Arial"/>
              </w:rPr>
              <w:t>Dean of Instruction</w:t>
            </w:r>
          </w:p>
          <w:p w:rsidR="00347C99" w:rsidRDefault="00347C99" w:rsidP="002237CE">
            <w:pPr>
              <w:jc w:val="center"/>
              <w:rPr>
                <w:rFonts w:cs="Arial"/>
              </w:rPr>
            </w:pPr>
            <w:r>
              <w:rPr>
                <w:rFonts w:cs="Arial"/>
              </w:rPr>
              <w:t>CTE/GGC</w:t>
            </w:r>
          </w:p>
          <w:p w:rsidR="002237CE" w:rsidRPr="00662AB3" w:rsidRDefault="002237CE" w:rsidP="002237CE">
            <w:pPr>
              <w:jc w:val="center"/>
              <w:rPr>
                <w:rFonts w:cs="Arial"/>
              </w:rPr>
            </w:pPr>
          </w:p>
        </w:tc>
        <w:tc>
          <w:tcPr>
            <w:tcW w:w="1530" w:type="dxa"/>
          </w:tcPr>
          <w:p w:rsidR="0040145E" w:rsidRDefault="005B15C4" w:rsidP="00174E05">
            <w:pPr>
              <w:jc w:val="center"/>
              <w:rPr>
                <w:rFonts w:cs="Arial"/>
              </w:rPr>
            </w:pPr>
            <w:r w:rsidRPr="00662AB3">
              <w:rPr>
                <w:rFonts w:cs="Arial"/>
              </w:rPr>
              <w:t xml:space="preserve">Spring </w:t>
            </w:r>
          </w:p>
          <w:p w:rsidR="00C56EDE" w:rsidRPr="00662AB3" w:rsidRDefault="00174E05" w:rsidP="00174E05">
            <w:pPr>
              <w:jc w:val="center"/>
              <w:rPr>
                <w:rFonts w:cs="Arial"/>
              </w:rPr>
            </w:pPr>
            <w:r w:rsidRPr="00662AB3">
              <w:rPr>
                <w:rFonts w:cs="Arial"/>
              </w:rPr>
              <w:t>2013</w:t>
            </w:r>
          </w:p>
        </w:tc>
      </w:tr>
      <w:tr w:rsidR="00C56EDE" w:rsidRPr="00662AB3" w:rsidTr="00612E28">
        <w:trPr>
          <w:trHeight w:val="2465"/>
        </w:trPr>
        <w:tc>
          <w:tcPr>
            <w:tcW w:w="4103" w:type="dxa"/>
          </w:tcPr>
          <w:p w:rsidR="00612E28" w:rsidRPr="00662AB3" w:rsidRDefault="00C56EDE" w:rsidP="009F03B4">
            <w:pPr>
              <w:pStyle w:val="Default"/>
              <w:tabs>
                <w:tab w:val="left" w:pos="2250"/>
              </w:tabs>
              <w:contextualSpacing/>
              <w:rPr>
                <w:rFonts w:asciiTheme="minorHAnsi" w:hAnsiTheme="minorHAnsi" w:cs="Arial"/>
                <w:color w:val="auto"/>
                <w:sz w:val="22"/>
                <w:szCs w:val="22"/>
              </w:rPr>
            </w:pPr>
            <w:r w:rsidRPr="00662AB3">
              <w:rPr>
                <w:rFonts w:asciiTheme="minorHAnsi" w:hAnsiTheme="minorHAnsi" w:cs="Arial"/>
                <w:color w:val="auto"/>
                <w:sz w:val="22"/>
                <w:szCs w:val="22"/>
              </w:rPr>
              <w:t>EBUS II.A.2.e. - The institution evaluates all courses and programs through an on-going systematic review of their relevance, appropriateness, achievement of learning outcomes, currency, and future needs and plans.</w:t>
            </w:r>
          </w:p>
        </w:tc>
        <w:tc>
          <w:tcPr>
            <w:tcW w:w="2845" w:type="dxa"/>
          </w:tcPr>
          <w:p w:rsidR="0040145E" w:rsidRDefault="0040145E" w:rsidP="0040145E">
            <w:pPr>
              <w:jc w:val="center"/>
              <w:rPr>
                <w:rFonts w:cs="Arial"/>
              </w:rPr>
            </w:pPr>
            <w:r>
              <w:rPr>
                <w:rFonts w:cs="Arial"/>
              </w:rPr>
              <w:t>Partially meets</w:t>
            </w:r>
          </w:p>
          <w:p w:rsidR="00261393" w:rsidRPr="00662AB3" w:rsidRDefault="0040145E" w:rsidP="0040145E">
            <w:pPr>
              <w:jc w:val="center"/>
              <w:rPr>
                <w:rFonts w:cs="Arial"/>
              </w:rPr>
            </w:pPr>
            <w:r>
              <w:rPr>
                <w:rFonts w:cs="Arial"/>
              </w:rPr>
              <w:t xml:space="preserve"> the standard</w:t>
            </w:r>
          </w:p>
        </w:tc>
        <w:tc>
          <w:tcPr>
            <w:tcW w:w="4500" w:type="dxa"/>
          </w:tcPr>
          <w:p w:rsidR="00C56EDE" w:rsidRPr="00662AB3" w:rsidRDefault="00C56EDE" w:rsidP="00CD3152">
            <w:pPr>
              <w:pStyle w:val="Default"/>
              <w:tabs>
                <w:tab w:val="left" w:pos="2250"/>
              </w:tabs>
              <w:contextualSpacing/>
              <w:jc w:val="both"/>
              <w:rPr>
                <w:rFonts w:cs="Arial"/>
              </w:rPr>
            </w:pPr>
            <w:r w:rsidRPr="00662AB3">
              <w:rPr>
                <w:rFonts w:asciiTheme="minorHAnsi" w:hAnsiTheme="minorHAnsi" w:cs="Arial"/>
                <w:sz w:val="22"/>
                <w:szCs w:val="22"/>
              </w:rPr>
              <w:t xml:space="preserve">Complete a program review in 2012.  </w:t>
            </w:r>
          </w:p>
        </w:tc>
        <w:tc>
          <w:tcPr>
            <w:tcW w:w="1350" w:type="dxa"/>
            <w:shd w:val="clear" w:color="auto" w:fill="DBE5F1" w:themeFill="accent1" w:themeFillTint="33"/>
          </w:tcPr>
          <w:p w:rsidR="00C56EDE" w:rsidRDefault="003972A9" w:rsidP="00BA7B47">
            <w:pPr>
              <w:rPr>
                <w:rFonts w:cs="Arial"/>
              </w:rPr>
            </w:pPr>
            <w:r>
              <w:rPr>
                <w:rFonts w:cs="Arial"/>
              </w:rPr>
              <w:t xml:space="preserve">   Program</w:t>
            </w:r>
          </w:p>
          <w:p w:rsidR="003972A9" w:rsidRDefault="003972A9" w:rsidP="00BA7B47">
            <w:pPr>
              <w:rPr>
                <w:rFonts w:cs="Arial"/>
              </w:rPr>
            </w:pPr>
            <w:r>
              <w:rPr>
                <w:rFonts w:cs="Arial"/>
              </w:rPr>
              <w:t xml:space="preserve">    Director</w:t>
            </w:r>
          </w:p>
          <w:p w:rsidR="003972A9" w:rsidRPr="00662AB3" w:rsidRDefault="003972A9" w:rsidP="00BA7B47">
            <w:pPr>
              <w:rPr>
                <w:rFonts w:cs="Arial"/>
              </w:rPr>
            </w:pPr>
            <w:r>
              <w:rPr>
                <w:rFonts w:cs="Arial"/>
              </w:rPr>
              <w:t xml:space="preserve">     EBUS</w:t>
            </w:r>
          </w:p>
          <w:p w:rsidR="00C56EDE" w:rsidRPr="00662AB3" w:rsidRDefault="00C56EDE" w:rsidP="00BA7B47">
            <w:pPr>
              <w:rPr>
                <w:rFonts w:cs="Arial"/>
              </w:rPr>
            </w:pPr>
          </w:p>
          <w:p w:rsidR="00C56EDE" w:rsidRPr="00662AB3" w:rsidRDefault="00C56EDE" w:rsidP="00BA7B47">
            <w:pPr>
              <w:rPr>
                <w:rFonts w:cs="Arial"/>
              </w:rPr>
            </w:pPr>
          </w:p>
        </w:tc>
        <w:tc>
          <w:tcPr>
            <w:tcW w:w="1530" w:type="dxa"/>
          </w:tcPr>
          <w:p w:rsidR="00835077" w:rsidRDefault="00347C99" w:rsidP="00174E05">
            <w:pPr>
              <w:jc w:val="center"/>
              <w:rPr>
                <w:rFonts w:cs="Arial"/>
              </w:rPr>
            </w:pPr>
            <w:r>
              <w:rPr>
                <w:rFonts w:cs="Arial"/>
              </w:rPr>
              <w:t>Fall</w:t>
            </w:r>
          </w:p>
          <w:p w:rsidR="002B45FA" w:rsidRPr="00662AB3" w:rsidRDefault="00347C99" w:rsidP="00174E05">
            <w:pPr>
              <w:jc w:val="center"/>
              <w:rPr>
                <w:rFonts w:cs="Arial"/>
              </w:rPr>
            </w:pPr>
            <w:r>
              <w:rPr>
                <w:rFonts w:cs="Arial"/>
              </w:rPr>
              <w:t xml:space="preserve"> 2012</w:t>
            </w:r>
          </w:p>
          <w:p w:rsidR="002B45FA" w:rsidRPr="00662AB3" w:rsidRDefault="002B45FA" w:rsidP="00174E05">
            <w:pPr>
              <w:jc w:val="center"/>
              <w:rPr>
                <w:rFonts w:cs="Arial"/>
              </w:rPr>
            </w:pPr>
          </w:p>
          <w:p w:rsidR="002B45FA" w:rsidRPr="00662AB3" w:rsidRDefault="002B45FA" w:rsidP="00174E05">
            <w:pPr>
              <w:jc w:val="center"/>
              <w:rPr>
                <w:rFonts w:cs="Arial"/>
              </w:rPr>
            </w:pPr>
          </w:p>
        </w:tc>
      </w:tr>
      <w:tr w:rsidR="00C56EDE" w:rsidRPr="00662AB3" w:rsidTr="00827824">
        <w:trPr>
          <w:trHeight w:val="70"/>
        </w:trPr>
        <w:tc>
          <w:tcPr>
            <w:tcW w:w="4103" w:type="dxa"/>
          </w:tcPr>
          <w:p w:rsidR="00C56EDE" w:rsidRPr="00265B3E" w:rsidRDefault="00C56EDE" w:rsidP="002B45FA">
            <w:pPr>
              <w:rPr>
                <w:rFonts w:cs="Arial"/>
              </w:rPr>
            </w:pPr>
            <w:r w:rsidRPr="00265B3E">
              <w:rPr>
                <w:rFonts w:cs="Arial"/>
              </w:rPr>
              <w:t>EBUS II.B.</w:t>
            </w:r>
            <w:r w:rsidRPr="00265B3E">
              <w:rPr>
                <w:rFonts w:cs="Arial"/>
                <w:bCs/>
              </w:rPr>
              <w:t>3.</w:t>
            </w:r>
            <w:r w:rsidRPr="00265B3E">
              <w:rPr>
                <w:rFonts w:cs="Arial"/>
              </w:rPr>
              <w:t>e. - The institution regularly evaluates admissions and placement instruments and practices to validate their effectiveness while minimizing biases.</w:t>
            </w:r>
          </w:p>
          <w:p w:rsidR="00C56EDE" w:rsidRPr="00265B3E" w:rsidRDefault="00C56EDE" w:rsidP="007B3C92">
            <w:pPr>
              <w:ind w:firstLine="720"/>
              <w:rPr>
                <w:rFonts w:cs="Arial"/>
              </w:rPr>
            </w:pPr>
          </w:p>
        </w:tc>
        <w:tc>
          <w:tcPr>
            <w:tcW w:w="2845" w:type="dxa"/>
          </w:tcPr>
          <w:p w:rsidR="0040145E" w:rsidRDefault="00A91B93" w:rsidP="00174E05">
            <w:pPr>
              <w:jc w:val="center"/>
              <w:rPr>
                <w:rFonts w:cs="Arial"/>
              </w:rPr>
            </w:pPr>
            <w:r w:rsidRPr="00265B3E">
              <w:rPr>
                <w:rFonts w:cs="Arial"/>
              </w:rPr>
              <w:t>Partially meets</w:t>
            </w:r>
          </w:p>
          <w:p w:rsidR="00261393" w:rsidRPr="00265B3E" w:rsidRDefault="0040145E" w:rsidP="00174E05">
            <w:pPr>
              <w:jc w:val="center"/>
              <w:rPr>
                <w:rFonts w:cs="Arial"/>
              </w:rPr>
            </w:pPr>
            <w:r>
              <w:rPr>
                <w:rFonts w:cs="Arial"/>
              </w:rPr>
              <w:t xml:space="preserve"> the </w:t>
            </w:r>
            <w:r w:rsidR="00A91B93" w:rsidRPr="00265B3E">
              <w:rPr>
                <w:rFonts w:cs="Arial"/>
              </w:rPr>
              <w:t>standard</w:t>
            </w:r>
          </w:p>
        </w:tc>
        <w:tc>
          <w:tcPr>
            <w:tcW w:w="4500" w:type="dxa"/>
          </w:tcPr>
          <w:p w:rsidR="00C56EDE" w:rsidRPr="00265B3E" w:rsidRDefault="00C56EDE" w:rsidP="002B45FA">
            <w:pPr>
              <w:autoSpaceDE w:val="0"/>
              <w:autoSpaceDN w:val="0"/>
              <w:adjustRightInd w:val="0"/>
              <w:rPr>
                <w:rFonts w:cs="Arial"/>
              </w:rPr>
            </w:pPr>
            <w:r w:rsidRPr="00265B3E">
              <w:rPr>
                <w:rFonts w:cs="Arial"/>
              </w:rPr>
              <w:t>Evaluate the effectiveness and fairness of placement exams and practices used with students in international programs.</w:t>
            </w:r>
            <w:r w:rsidRPr="00265B3E">
              <w:rPr>
                <w:rFonts w:cs="Arial"/>
                <w:color w:val="000000"/>
              </w:rPr>
              <w:t xml:space="preserve">  (Same as </w:t>
            </w:r>
            <w:r w:rsidRPr="00265B3E">
              <w:rPr>
                <w:rFonts w:cs="Arial"/>
              </w:rPr>
              <w:t>II.B.3.e.)</w:t>
            </w:r>
          </w:p>
        </w:tc>
        <w:tc>
          <w:tcPr>
            <w:tcW w:w="1350" w:type="dxa"/>
            <w:shd w:val="clear" w:color="auto" w:fill="DBE5F1" w:themeFill="accent1" w:themeFillTint="33"/>
          </w:tcPr>
          <w:p w:rsidR="003972A9" w:rsidRPr="00265B3E" w:rsidRDefault="003972A9" w:rsidP="003972A9">
            <w:pPr>
              <w:jc w:val="center"/>
              <w:rPr>
                <w:rFonts w:cs="Arial"/>
              </w:rPr>
            </w:pPr>
            <w:r w:rsidRPr="00265B3E">
              <w:rPr>
                <w:rFonts w:cs="Arial"/>
              </w:rPr>
              <w:t>Associate</w:t>
            </w:r>
          </w:p>
          <w:p w:rsidR="003972A9" w:rsidRPr="00265B3E" w:rsidRDefault="003972A9" w:rsidP="003972A9">
            <w:pPr>
              <w:jc w:val="center"/>
              <w:rPr>
                <w:rFonts w:cs="Arial"/>
              </w:rPr>
            </w:pPr>
            <w:r w:rsidRPr="00265B3E">
              <w:rPr>
                <w:rFonts w:cs="Arial"/>
              </w:rPr>
              <w:t>Dean</w:t>
            </w:r>
          </w:p>
          <w:p w:rsidR="003972A9" w:rsidRPr="00265B3E" w:rsidRDefault="003972A9" w:rsidP="003972A9">
            <w:pPr>
              <w:jc w:val="center"/>
              <w:rPr>
                <w:rFonts w:cs="Arial"/>
              </w:rPr>
            </w:pPr>
            <w:r w:rsidRPr="00265B3E">
              <w:rPr>
                <w:rFonts w:cs="Arial"/>
              </w:rPr>
              <w:t>Institutional Research &amp;</w:t>
            </w:r>
          </w:p>
          <w:p w:rsidR="00174E05" w:rsidRPr="00265B3E" w:rsidRDefault="003972A9" w:rsidP="003972A9">
            <w:pPr>
              <w:jc w:val="center"/>
              <w:rPr>
                <w:rFonts w:cs="Arial"/>
              </w:rPr>
            </w:pPr>
            <w:r w:rsidRPr="00265B3E">
              <w:rPr>
                <w:rFonts w:cs="Arial"/>
              </w:rPr>
              <w:t xml:space="preserve"> Planning</w:t>
            </w:r>
          </w:p>
        </w:tc>
        <w:tc>
          <w:tcPr>
            <w:tcW w:w="1530" w:type="dxa"/>
          </w:tcPr>
          <w:p w:rsidR="00835077" w:rsidRPr="00265B3E" w:rsidRDefault="00347C99" w:rsidP="00347C99">
            <w:pPr>
              <w:jc w:val="center"/>
              <w:rPr>
                <w:rFonts w:cs="Arial"/>
              </w:rPr>
            </w:pPr>
            <w:r w:rsidRPr="00265B3E">
              <w:rPr>
                <w:rFonts w:cs="Arial"/>
              </w:rPr>
              <w:t xml:space="preserve">Spring </w:t>
            </w:r>
          </w:p>
          <w:p w:rsidR="00C56EDE" w:rsidRDefault="00347C99" w:rsidP="00347C99">
            <w:pPr>
              <w:jc w:val="center"/>
              <w:rPr>
                <w:rFonts w:cs="Arial"/>
              </w:rPr>
            </w:pPr>
            <w:r w:rsidRPr="00265B3E">
              <w:rPr>
                <w:rFonts w:cs="Arial"/>
              </w:rPr>
              <w:t>2014</w:t>
            </w:r>
          </w:p>
          <w:p w:rsidR="00A33205" w:rsidRDefault="00A33205" w:rsidP="00347C99">
            <w:pPr>
              <w:jc w:val="center"/>
              <w:rPr>
                <w:rFonts w:cs="Arial"/>
              </w:rPr>
            </w:pPr>
          </w:p>
          <w:p w:rsidR="00A33205" w:rsidRDefault="00A33205" w:rsidP="00347C99">
            <w:pPr>
              <w:jc w:val="center"/>
              <w:rPr>
                <w:rFonts w:cs="Arial"/>
              </w:rPr>
            </w:pPr>
          </w:p>
          <w:p w:rsidR="00A33205" w:rsidRDefault="00A33205" w:rsidP="00347C99">
            <w:pPr>
              <w:jc w:val="center"/>
              <w:rPr>
                <w:rFonts w:cs="Arial"/>
              </w:rPr>
            </w:pPr>
          </w:p>
          <w:p w:rsidR="00A33205" w:rsidRPr="00265B3E" w:rsidRDefault="00A33205" w:rsidP="00347C99">
            <w:pPr>
              <w:jc w:val="center"/>
              <w:rPr>
                <w:rFonts w:cs="Arial"/>
              </w:rPr>
            </w:pPr>
          </w:p>
        </w:tc>
      </w:tr>
      <w:tr w:rsidR="00C56EDE" w:rsidRPr="00662AB3" w:rsidTr="00F33785">
        <w:tc>
          <w:tcPr>
            <w:tcW w:w="4103" w:type="dxa"/>
          </w:tcPr>
          <w:p w:rsidR="004751BD" w:rsidRPr="00662AB3" w:rsidRDefault="00C56EDE" w:rsidP="002B45FA">
            <w:pPr>
              <w:pStyle w:val="Default"/>
              <w:spacing w:before="100" w:beforeAutospacing="1" w:after="100" w:afterAutospacing="1"/>
              <w:contextualSpacing/>
              <w:rPr>
                <w:rFonts w:asciiTheme="minorHAnsi" w:hAnsiTheme="minorHAnsi" w:cs="Arial"/>
                <w:color w:val="auto"/>
                <w:sz w:val="22"/>
                <w:szCs w:val="22"/>
              </w:rPr>
            </w:pPr>
            <w:r w:rsidRPr="00662AB3">
              <w:rPr>
                <w:rFonts w:asciiTheme="minorHAnsi" w:hAnsiTheme="minorHAnsi" w:cs="Arial"/>
                <w:color w:val="auto"/>
                <w:sz w:val="22"/>
                <w:szCs w:val="22"/>
              </w:rPr>
              <w:lastRenderedPageBreak/>
              <w:t xml:space="preserve">III.A.1.b. -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2B45FA" w:rsidRPr="00662AB3" w:rsidRDefault="002B45FA" w:rsidP="002B45FA">
            <w:pPr>
              <w:pStyle w:val="Default"/>
              <w:spacing w:before="100" w:beforeAutospacing="1" w:after="100" w:afterAutospacing="1"/>
              <w:contextualSpacing/>
              <w:rPr>
                <w:rFonts w:asciiTheme="minorHAnsi" w:hAnsiTheme="minorHAnsi" w:cs="Arial"/>
                <w:color w:val="auto"/>
                <w:sz w:val="22"/>
                <w:szCs w:val="22"/>
              </w:rPr>
            </w:pPr>
          </w:p>
        </w:tc>
        <w:tc>
          <w:tcPr>
            <w:tcW w:w="2845" w:type="dxa"/>
          </w:tcPr>
          <w:p w:rsidR="0040145E" w:rsidRDefault="00A91B93" w:rsidP="00A91B93">
            <w:pPr>
              <w:jc w:val="center"/>
              <w:rPr>
                <w:rFonts w:cs="Arial"/>
              </w:rPr>
            </w:pPr>
            <w:r w:rsidRPr="00662AB3">
              <w:rPr>
                <w:rFonts w:cs="Arial"/>
              </w:rPr>
              <w:t>Partially meets</w:t>
            </w:r>
          </w:p>
          <w:p w:rsidR="00A91B93" w:rsidRPr="00662AB3" w:rsidRDefault="0040145E" w:rsidP="00A91B93">
            <w:pPr>
              <w:jc w:val="center"/>
              <w:rPr>
                <w:rFonts w:cs="Arial"/>
              </w:rPr>
            </w:pPr>
            <w:r>
              <w:rPr>
                <w:rFonts w:cs="Arial"/>
              </w:rPr>
              <w:t xml:space="preserve"> the standard</w:t>
            </w:r>
          </w:p>
          <w:p w:rsidR="00A91B93" w:rsidRPr="00662AB3" w:rsidRDefault="00A91B93" w:rsidP="00A91B93">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rPr>
            </w:pPr>
          </w:p>
          <w:p w:rsidR="00C56EDE" w:rsidRPr="00662AB3" w:rsidRDefault="00C56EDE" w:rsidP="00CA1C81">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rPr>
            </w:pPr>
          </w:p>
          <w:p w:rsidR="00261393" w:rsidRPr="00662AB3" w:rsidRDefault="00261393" w:rsidP="00261393">
            <w:pPr>
              <w:rPr>
                <w:lang w:bidi="en-US"/>
              </w:rPr>
            </w:pPr>
          </w:p>
          <w:p w:rsidR="00261393" w:rsidRPr="00662AB3" w:rsidRDefault="00261393" w:rsidP="00261393">
            <w:pPr>
              <w:rPr>
                <w:lang w:bidi="en-US"/>
              </w:rPr>
            </w:pPr>
          </w:p>
        </w:tc>
        <w:tc>
          <w:tcPr>
            <w:tcW w:w="4500" w:type="dxa"/>
          </w:tcPr>
          <w:p w:rsidR="00C56EDE" w:rsidRPr="00662AB3" w:rsidRDefault="00D35A1D" w:rsidP="00CA1C81">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u w:val="single"/>
              </w:rPr>
            </w:pPr>
            <w:r w:rsidRPr="00662AB3">
              <w:rPr>
                <w:rFonts w:asciiTheme="minorHAnsi" w:hAnsiTheme="minorHAnsi" w:cs="Arial"/>
                <w:i w:val="0"/>
                <w:color w:val="auto"/>
                <w:sz w:val="22"/>
                <w:szCs w:val="22"/>
              </w:rPr>
              <w:t>Work with the District to develop a plan to ensure that certificated evaluations are completed in a timely manner.</w:t>
            </w:r>
            <w:r w:rsidR="00C56EDE" w:rsidRPr="00662AB3">
              <w:rPr>
                <w:rFonts w:asciiTheme="minorHAnsi" w:hAnsiTheme="minorHAnsi" w:cs="Arial"/>
                <w:i w:val="0"/>
                <w:color w:val="auto"/>
                <w:sz w:val="22"/>
                <w:szCs w:val="22"/>
              </w:rPr>
              <w:t xml:space="preserve"> </w:t>
            </w:r>
          </w:p>
          <w:p w:rsidR="00C56EDE" w:rsidRPr="00662AB3" w:rsidRDefault="00C56EDE" w:rsidP="00CA1C81">
            <w:pPr>
              <w:rPr>
                <w:rFonts w:cs="Arial"/>
              </w:rPr>
            </w:pPr>
          </w:p>
        </w:tc>
        <w:tc>
          <w:tcPr>
            <w:tcW w:w="1350" w:type="dxa"/>
            <w:shd w:val="clear" w:color="auto" w:fill="DBE5F1" w:themeFill="accent1" w:themeFillTint="33"/>
          </w:tcPr>
          <w:p w:rsidR="003972A9" w:rsidRPr="003972A9" w:rsidRDefault="003972A9" w:rsidP="003972A9">
            <w:pPr>
              <w:ind w:left="-108" w:right="-1818"/>
              <w:rPr>
                <w:rFonts w:cs="Arial"/>
                <w:sz w:val="20"/>
                <w:szCs w:val="20"/>
              </w:rPr>
            </w:pPr>
            <w:r>
              <w:rPr>
                <w:rFonts w:cs="Arial"/>
                <w:sz w:val="20"/>
                <w:szCs w:val="20"/>
              </w:rPr>
              <w:t xml:space="preserve">  </w:t>
            </w:r>
            <w:r w:rsidRPr="003972A9">
              <w:rPr>
                <w:rFonts w:cs="Arial"/>
                <w:sz w:val="20"/>
                <w:szCs w:val="20"/>
              </w:rPr>
              <w:t>Vice President</w:t>
            </w:r>
          </w:p>
          <w:p w:rsidR="003972A9" w:rsidRPr="003972A9" w:rsidRDefault="003972A9" w:rsidP="003972A9">
            <w:pPr>
              <w:ind w:right="-1818"/>
              <w:rPr>
                <w:rFonts w:cs="Arial"/>
                <w:sz w:val="20"/>
                <w:szCs w:val="20"/>
              </w:rPr>
            </w:pPr>
            <w:r>
              <w:rPr>
                <w:rFonts w:cs="Arial"/>
              </w:rPr>
              <w:t xml:space="preserve">  </w:t>
            </w:r>
            <w:r w:rsidRPr="003972A9">
              <w:rPr>
                <w:rFonts w:cs="Arial"/>
                <w:sz w:val="20"/>
                <w:szCs w:val="20"/>
              </w:rPr>
              <w:t>Instruction/</w:t>
            </w:r>
          </w:p>
          <w:p w:rsidR="003972A9" w:rsidRPr="003972A9" w:rsidRDefault="003972A9" w:rsidP="003972A9">
            <w:pPr>
              <w:ind w:right="-1818"/>
              <w:rPr>
                <w:rFonts w:cs="Arial"/>
                <w:sz w:val="20"/>
                <w:szCs w:val="20"/>
              </w:rPr>
            </w:pPr>
            <w:r w:rsidRPr="003972A9">
              <w:rPr>
                <w:rFonts w:cs="Arial"/>
                <w:sz w:val="20"/>
                <w:szCs w:val="20"/>
              </w:rPr>
              <w:t xml:space="preserve">   </w:t>
            </w:r>
            <w:r>
              <w:rPr>
                <w:rFonts w:cs="Arial"/>
                <w:sz w:val="20"/>
                <w:szCs w:val="20"/>
              </w:rPr>
              <w:t xml:space="preserve"> </w:t>
            </w:r>
            <w:r w:rsidRPr="003972A9">
              <w:rPr>
                <w:rFonts w:cs="Arial"/>
                <w:sz w:val="20"/>
                <w:szCs w:val="20"/>
              </w:rPr>
              <w:t xml:space="preserve">Student </w:t>
            </w:r>
          </w:p>
          <w:p w:rsidR="003972A9" w:rsidRDefault="003972A9" w:rsidP="003972A9">
            <w:pPr>
              <w:ind w:right="-1818"/>
              <w:rPr>
                <w:rFonts w:cs="Arial"/>
                <w:sz w:val="20"/>
                <w:szCs w:val="20"/>
              </w:rPr>
            </w:pPr>
            <w:r w:rsidRPr="003972A9">
              <w:rPr>
                <w:rFonts w:cs="Arial"/>
                <w:sz w:val="20"/>
                <w:szCs w:val="20"/>
              </w:rPr>
              <w:t xml:space="preserve">   </w:t>
            </w:r>
            <w:r>
              <w:rPr>
                <w:rFonts w:cs="Arial"/>
                <w:sz w:val="20"/>
                <w:szCs w:val="20"/>
              </w:rPr>
              <w:t xml:space="preserve"> </w:t>
            </w:r>
            <w:r w:rsidRPr="003972A9">
              <w:rPr>
                <w:rFonts w:cs="Arial"/>
                <w:sz w:val="20"/>
                <w:szCs w:val="20"/>
              </w:rPr>
              <w:t>Services</w:t>
            </w:r>
          </w:p>
          <w:p w:rsidR="00347C99" w:rsidRPr="003972A9" w:rsidRDefault="00347C99" w:rsidP="00E479EB">
            <w:pPr>
              <w:jc w:val="center"/>
              <w:rPr>
                <w:rFonts w:cs="Arial"/>
                <w:sz w:val="24"/>
                <w:szCs w:val="24"/>
              </w:rPr>
            </w:pPr>
            <w:r w:rsidRPr="003972A9">
              <w:rPr>
                <w:rFonts w:cs="Arial"/>
                <w:sz w:val="24"/>
                <w:szCs w:val="24"/>
              </w:rPr>
              <w:t>+</w:t>
            </w:r>
          </w:p>
          <w:p w:rsidR="00347C99" w:rsidRPr="00662AB3" w:rsidRDefault="00347C99" w:rsidP="00E479EB">
            <w:pPr>
              <w:jc w:val="center"/>
              <w:rPr>
                <w:rFonts w:cs="Arial"/>
              </w:rPr>
            </w:pPr>
            <w:r>
              <w:rPr>
                <w:rFonts w:cs="Arial"/>
              </w:rPr>
              <w:t>District</w:t>
            </w:r>
          </w:p>
        </w:tc>
        <w:tc>
          <w:tcPr>
            <w:tcW w:w="1530" w:type="dxa"/>
          </w:tcPr>
          <w:p w:rsidR="00C56EDE" w:rsidRDefault="00347C99" w:rsidP="00347C99">
            <w:pPr>
              <w:jc w:val="center"/>
              <w:rPr>
                <w:rFonts w:cs="Arial"/>
              </w:rPr>
            </w:pPr>
            <w:r>
              <w:rPr>
                <w:rFonts w:cs="Arial"/>
              </w:rPr>
              <w:t>Spring</w:t>
            </w:r>
          </w:p>
          <w:p w:rsidR="00347C99" w:rsidRPr="00662AB3" w:rsidRDefault="00347C99" w:rsidP="00347C99">
            <w:pPr>
              <w:jc w:val="center"/>
              <w:rPr>
                <w:rFonts w:cs="Arial"/>
              </w:rPr>
            </w:pPr>
            <w:r>
              <w:rPr>
                <w:rFonts w:cs="Arial"/>
              </w:rPr>
              <w:t>2013</w:t>
            </w:r>
          </w:p>
        </w:tc>
      </w:tr>
      <w:tr w:rsidR="00C56EDE" w:rsidRPr="00662AB3" w:rsidTr="00F33785">
        <w:tc>
          <w:tcPr>
            <w:tcW w:w="4103" w:type="dxa"/>
          </w:tcPr>
          <w:p w:rsidR="00C56EDE" w:rsidRPr="00662AB3" w:rsidRDefault="00C56EDE" w:rsidP="007B3C92">
            <w:pPr>
              <w:rPr>
                <w:rFonts w:cs="Arial"/>
              </w:rPr>
            </w:pPr>
            <w:r w:rsidRPr="00662AB3">
              <w:rPr>
                <w:rFonts w:cs="Arial"/>
              </w:rPr>
              <w:t>III.C.1.c. - The institution systematically plans, acquires, maintains, and upgrades or replaces technology infrastructure and equipment to meet institutional needs.</w:t>
            </w:r>
          </w:p>
          <w:p w:rsidR="00C56EDE" w:rsidRPr="00662AB3" w:rsidRDefault="00C56EDE" w:rsidP="007B3C92">
            <w:pPr>
              <w:ind w:firstLine="720"/>
              <w:rPr>
                <w:rFonts w:cs="Arial"/>
              </w:rPr>
            </w:pPr>
          </w:p>
        </w:tc>
        <w:tc>
          <w:tcPr>
            <w:tcW w:w="2845" w:type="dxa"/>
          </w:tcPr>
          <w:p w:rsidR="00A91B93" w:rsidRPr="00662AB3" w:rsidRDefault="00A91B93" w:rsidP="00A91B93">
            <w:pPr>
              <w:jc w:val="center"/>
              <w:rPr>
                <w:rFonts w:cs="Arial"/>
              </w:rPr>
            </w:pPr>
            <w:r w:rsidRPr="00662AB3">
              <w:rPr>
                <w:rFonts w:cs="Arial"/>
              </w:rPr>
              <w:t>Meets the standard; however the college seeks to improve.</w:t>
            </w:r>
          </w:p>
          <w:p w:rsidR="00261393" w:rsidRPr="00662AB3" w:rsidRDefault="00261393" w:rsidP="00261393">
            <w:pPr>
              <w:autoSpaceDE w:val="0"/>
              <w:autoSpaceDN w:val="0"/>
              <w:adjustRightInd w:val="0"/>
              <w:rPr>
                <w:rFonts w:cs="Arial"/>
              </w:rPr>
            </w:pPr>
          </w:p>
          <w:p w:rsidR="00261393" w:rsidRPr="00662AB3" w:rsidRDefault="00261393" w:rsidP="00261393">
            <w:pPr>
              <w:jc w:val="center"/>
              <w:rPr>
                <w:rFonts w:cs="Arial"/>
              </w:rPr>
            </w:pPr>
          </w:p>
          <w:p w:rsidR="00261393" w:rsidRPr="00662AB3" w:rsidRDefault="00261393" w:rsidP="00CA1C81">
            <w:pPr>
              <w:autoSpaceDE w:val="0"/>
              <w:autoSpaceDN w:val="0"/>
              <w:adjustRightInd w:val="0"/>
              <w:rPr>
                <w:rFonts w:cs="Arial"/>
                <w:color w:val="000000"/>
              </w:rPr>
            </w:pPr>
          </w:p>
        </w:tc>
        <w:tc>
          <w:tcPr>
            <w:tcW w:w="4500" w:type="dxa"/>
          </w:tcPr>
          <w:p w:rsidR="00A91B93" w:rsidRPr="00662AB3" w:rsidRDefault="00A91B93" w:rsidP="00A91B93">
            <w:pPr>
              <w:autoSpaceDE w:val="0"/>
              <w:autoSpaceDN w:val="0"/>
              <w:adjustRightInd w:val="0"/>
              <w:rPr>
                <w:rFonts w:cs="Arial"/>
              </w:rPr>
            </w:pPr>
            <w:r w:rsidRPr="00662AB3">
              <w:rPr>
                <w:rFonts w:cs="Arial"/>
              </w:rPr>
              <w:t xml:space="preserve">Assess and refine the planning and budgeting process in order to fund predictable financial obligations, such as instructional (e.g., computer labs) and non-instructional equipment replacement, including technology equipment (e.g., College network upgrades), that will predetermine the </w:t>
            </w:r>
            <w:r w:rsidR="00E479EB" w:rsidRPr="00662AB3">
              <w:rPr>
                <w:rFonts w:cs="Arial"/>
              </w:rPr>
              <w:t xml:space="preserve">allocation of </w:t>
            </w:r>
            <w:r w:rsidRPr="00662AB3">
              <w:rPr>
                <w:rFonts w:cs="Arial"/>
              </w:rPr>
              <w:t>funds.</w:t>
            </w:r>
          </w:p>
          <w:p w:rsidR="007A23D2" w:rsidRPr="00662AB3" w:rsidRDefault="007A23D2" w:rsidP="00A91B93">
            <w:pPr>
              <w:autoSpaceDE w:val="0"/>
              <w:autoSpaceDN w:val="0"/>
              <w:adjustRightInd w:val="0"/>
              <w:rPr>
                <w:rFonts w:cs="Arial"/>
              </w:rPr>
            </w:pPr>
          </w:p>
        </w:tc>
        <w:tc>
          <w:tcPr>
            <w:tcW w:w="1350" w:type="dxa"/>
            <w:shd w:val="clear" w:color="auto" w:fill="DBE5F1" w:themeFill="accent1" w:themeFillTint="33"/>
          </w:tcPr>
          <w:p w:rsidR="00C56EDE" w:rsidRDefault="00347C99" w:rsidP="00347C99">
            <w:pPr>
              <w:jc w:val="center"/>
              <w:rPr>
                <w:rFonts w:cs="Arial"/>
              </w:rPr>
            </w:pPr>
            <w:r>
              <w:rPr>
                <w:rFonts w:cs="Arial"/>
              </w:rPr>
              <w:t>PIEAC</w:t>
            </w:r>
          </w:p>
          <w:p w:rsidR="00347C99" w:rsidRPr="00662AB3" w:rsidRDefault="00347C99" w:rsidP="00347C99">
            <w:pPr>
              <w:jc w:val="center"/>
              <w:rPr>
                <w:rFonts w:cs="Arial"/>
              </w:rPr>
            </w:pPr>
            <w:r>
              <w:rPr>
                <w:rFonts w:cs="Arial"/>
              </w:rPr>
              <w:t>Committee</w:t>
            </w:r>
          </w:p>
        </w:tc>
        <w:tc>
          <w:tcPr>
            <w:tcW w:w="1530" w:type="dxa"/>
          </w:tcPr>
          <w:p w:rsidR="00C56EDE" w:rsidRPr="00662AB3" w:rsidRDefault="00347C99" w:rsidP="00347C99">
            <w:pPr>
              <w:jc w:val="center"/>
              <w:rPr>
                <w:rFonts w:cs="Arial"/>
              </w:rPr>
            </w:pPr>
            <w:r>
              <w:rPr>
                <w:rFonts w:cs="Arial"/>
              </w:rPr>
              <w:t>Annually</w:t>
            </w:r>
          </w:p>
        </w:tc>
      </w:tr>
      <w:tr w:rsidR="00A91B93" w:rsidRPr="00662AB3" w:rsidTr="00F33785">
        <w:tc>
          <w:tcPr>
            <w:tcW w:w="4103" w:type="dxa"/>
          </w:tcPr>
          <w:p w:rsidR="00A91B93" w:rsidRPr="00662AB3" w:rsidRDefault="00A91B93" w:rsidP="002B45FA">
            <w:pPr>
              <w:rPr>
                <w:rFonts w:cs="Arial"/>
              </w:rPr>
            </w:pPr>
            <w:r w:rsidRPr="00662AB3">
              <w:rPr>
                <w:rFonts w:cs="Arial"/>
              </w:rPr>
              <w:t>IV.B.1.e - The governing board acts in a manner consistent with its policies and bylaws. The board regularly evaluates its policies and practices and revises them as necessary.</w:t>
            </w:r>
          </w:p>
          <w:p w:rsidR="002B45FA" w:rsidRPr="00662AB3" w:rsidRDefault="002B45FA" w:rsidP="002B45FA">
            <w:pPr>
              <w:rPr>
                <w:rFonts w:cs="Arial"/>
              </w:rPr>
            </w:pPr>
          </w:p>
          <w:p w:rsidR="002B45FA" w:rsidRPr="00662AB3" w:rsidRDefault="002B45FA" w:rsidP="002B45FA">
            <w:pPr>
              <w:rPr>
                <w:rFonts w:cs="Arial"/>
              </w:rPr>
            </w:pPr>
          </w:p>
          <w:p w:rsidR="002B45FA" w:rsidRPr="00662AB3" w:rsidRDefault="002B45FA" w:rsidP="002B45FA">
            <w:pPr>
              <w:rPr>
                <w:rFonts w:cs="Arial"/>
              </w:rPr>
            </w:pPr>
          </w:p>
          <w:p w:rsidR="002B45FA" w:rsidRPr="00662AB3" w:rsidRDefault="002B45FA" w:rsidP="002B45FA">
            <w:pPr>
              <w:rPr>
                <w:rFonts w:cs="Arial"/>
              </w:rPr>
            </w:pPr>
          </w:p>
        </w:tc>
        <w:tc>
          <w:tcPr>
            <w:tcW w:w="2845" w:type="dxa"/>
          </w:tcPr>
          <w:p w:rsidR="0040145E" w:rsidRDefault="0040145E" w:rsidP="00EF13E1">
            <w:pPr>
              <w:jc w:val="center"/>
              <w:rPr>
                <w:rFonts w:cs="Arial"/>
              </w:rPr>
            </w:pPr>
            <w:r>
              <w:rPr>
                <w:rFonts w:cs="Arial"/>
              </w:rPr>
              <w:t>Partially meets</w:t>
            </w:r>
          </w:p>
          <w:p w:rsidR="00A91B93" w:rsidRPr="00662AB3" w:rsidRDefault="00A91B93" w:rsidP="00EF13E1">
            <w:pPr>
              <w:jc w:val="center"/>
              <w:rPr>
                <w:rFonts w:eastAsia="Calibri" w:cs="Arial"/>
              </w:rPr>
            </w:pPr>
            <w:r w:rsidRPr="00662AB3">
              <w:rPr>
                <w:rFonts w:cs="Arial"/>
              </w:rPr>
              <w:t xml:space="preserve"> the standard</w:t>
            </w:r>
          </w:p>
        </w:tc>
        <w:tc>
          <w:tcPr>
            <w:tcW w:w="4500" w:type="dxa"/>
          </w:tcPr>
          <w:p w:rsidR="00A91B93" w:rsidRPr="00662AB3" w:rsidRDefault="00A91B93" w:rsidP="001C419B">
            <w:pPr>
              <w:rPr>
                <w:rFonts w:eastAsia="Calibri" w:cs="Arial"/>
              </w:rPr>
            </w:pPr>
            <w:r w:rsidRPr="00662AB3">
              <w:rPr>
                <w:rFonts w:eastAsia="Calibri" w:cs="Arial"/>
              </w:rPr>
              <w:t xml:space="preserve">The District will complete the review of all existing Board </w:t>
            </w:r>
            <w:r w:rsidR="0040145E">
              <w:rPr>
                <w:rFonts w:eastAsia="Calibri" w:cs="Arial"/>
              </w:rPr>
              <w:t>policies by the end of Spring 2013.</w:t>
            </w:r>
          </w:p>
          <w:p w:rsidR="00A91B93" w:rsidRPr="00662AB3" w:rsidRDefault="00A91B93" w:rsidP="00A91B93">
            <w:pPr>
              <w:jc w:val="center"/>
              <w:rPr>
                <w:rFonts w:cs="Arial"/>
              </w:rPr>
            </w:pPr>
          </w:p>
        </w:tc>
        <w:tc>
          <w:tcPr>
            <w:tcW w:w="1350" w:type="dxa"/>
            <w:shd w:val="clear" w:color="auto" w:fill="DBE5F1" w:themeFill="accent1" w:themeFillTint="33"/>
          </w:tcPr>
          <w:p w:rsidR="00E17249" w:rsidRDefault="00E17249" w:rsidP="00E17249">
            <w:pPr>
              <w:jc w:val="center"/>
              <w:rPr>
                <w:rFonts w:cs="Arial"/>
              </w:rPr>
            </w:pPr>
            <w:r>
              <w:rPr>
                <w:rFonts w:cs="Arial"/>
              </w:rPr>
              <w:t>Vice Chancellor</w:t>
            </w:r>
          </w:p>
          <w:p w:rsidR="00E17249" w:rsidRDefault="00E17249" w:rsidP="00E17249">
            <w:pPr>
              <w:jc w:val="center"/>
              <w:rPr>
                <w:rFonts w:cs="Arial"/>
              </w:rPr>
            </w:pPr>
            <w:r>
              <w:rPr>
                <w:rFonts w:cs="Arial"/>
              </w:rPr>
              <w:t xml:space="preserve">of </w:t>
            </w:r>
          </w:p>
          <w:p w:rsidR="00E17249" w:rsidRDefault="00E17249" w:rsidP="00E17249">
            <w:pPr>
              <w:jc w:val="center"/>
              <w:rPr>
                <w:rFonts w:cs="Arial"/>
              </w:rPr>
            </w:pPr>
            <w:r>
              <w:rPr>
                <w:rFonts w:cs="Arial"/>
              </w:rPr>
              <w:t>Educational Services</w:t>
            </w:r>
          </w:p>
          <w:p w:rsidR="00A91B93" w:rsidRPr="00662AB3" w:rsidRDefault="00E17249" w:rsidP="00E17249">
            <w:pPr>
              <w:jc w:val="center"/>
              <w:rPr>
                <w:rFonts w:cs="Arial"/>
              </w:rPr>
            </w:pPr>
            <w:r>
              <w:rPr>
                <w:rFonts w:cs="Arial"/>
              </w:rPr>
              <w:t xml:space="preserve"> &amp; Technology </w:t>
            </w:r>
          </w:p>
        </w:tc>
        <w:tc>
          <w:tcPr>
            <w:tcW w:w="1530" w:type="dxa"/>
          </w:tcPr>
          <w:p w:rsidR="00835077" w:rsidRDefault="00835077" w:rsidP="00BA7B47">
            <w:pPr>
              <w:rPr>
                <w:rFonts w:cs="Arial"/>
              </w:rPr>
            </w:pPr>
            <w:r>
              <w:rPr>
                <w:rFonts w:cs="Arial"/>
              </w:rPr>
              <w:t xml:space="preserve">     </w:t>
            </w:r>
            <w:r w:rsidR="00A91B93" w:rsidRPr="00662AB3">
              <w:rPr>
                <w:rFonts w:cs="Arial"/>
              </w:rPr>
              <w:t xml:space="preserve"> </w:t>
            </w:r>
          </w:p>
          <w:p w:rsidR="00835077" w:rsidRDefault="00835077" w:rsidP="00BA7B47">
            <w:pPr>
              <w:rPr>
                <w:rFonts w:cs="Arial"/>
              </w:rPr>
            </w:pPr>
            <w:r>
              <w:rPr>
                <w:rFonts w:cs="Arial"/>
              </w:rPr>
              <w:t xml:space="preserve">     </w:t>
            </w:r>
            <w:r w:rsidR="00A91B93" w:rsidRPr="00662AB3">
              <w:rPr>
                <w:rFonts w:cs="Arial"/>
              </w:rPr>
              <w:t xml:space="preserve">Spring </w:t>
            </w:r>
            <w:r>
              <w:rPr>
                <w:rFonts w:cs="Arial"/>
              </w:rPr>
              <w:t xml:space="preserve"> </w:t>
            </w:r>
          </w:p>
          <w:p w:rsidR="00A91B93" w:rsidRDefault="00835077" w:rsidP="00BA7B47">
            <w:pPr>
              <w:rPr>
                <w:rFonts w:cs="Arial"/>
              </w:rPr>
            </w:pPr>
            <w:r>
              <w:rPr>
                <w:rFonts w:cs="Arial"/>
              </w:rPr>
              <w:t xml:space="preserve">       </w:t>
            </w:r>
            <w:r w:rsidR="00A91B93" w:rsidRPr="00662AB3">
              <w:rPr>
                <w:rFonts w:cs="Arial"/>
              </w:rPr>
              <w:t>2013</w:t>
            </w:r>
          </w:p>
          <w:p w:rsidR="00A33205" w:rsidRDefault="00A33205" w:rsidP="00BA7B47">
            <w:pPr>
              <w:rPr>
                <w:rFonts w:cs="Arial"/>
              </w:rPr>
            </w:pPr>
          </w:p>
          <w:p w:rsidR="00A33205" w:rsidRDefault="00A33205" w:rsidP="00BA7B47">
            <w:pPr>
              <w:rPr>
                <w:rFonts w:cs="Arial"/>
              </w:rPr>
            </w:pPr>
          </w:p>
          <w:p w:rsidR="00A33205" w:rsidRDefault="00A33205" w:rsidP="00BA7B47">
            <w:pPr>
              <w:rPr>
                <w:rFonts w:cs="Arial"/>
              </w:rPr>
            </w:pPr>
          </w:p>
          <w:p w:rsidR="00A33205" w:rsidRDefault="00A33205" w:rsidP="00BA7B47">
            <w:pPr>
              <w:rPr>
                <w:rFonts w:cs="Arial"/>
              </w:rPr>
            </w:pPr>
          </w:p>
          <w:p w:rsidR="00A33205" w:rsidRDefault="00A33205" w:rsidP="00BA7B47">
            <w:pPr>
              <w:rPr>
                <w:rFonts w:cs="Arial"/>
              </w:rPr>
            </w:pPr>
          </w:p>
          <w:p w:rsidR="00A33205" w:rsidRDefault="00A33205" w:rsidP="00BA7B47">
            <w:pPr>
              <w:rPr>
                <w:rFonts w:cs="Arial"/>
              </w:rPr>
            </w:pPr>
          </w:p>
          <w:p w:rsidR="00A33205" w:rsidRPr="00662AB3" w:rsidRDefault="00A33205" w:rsidP="00BA7B47">
            <w:pPr>
              <w:rPr>
                <w:rFonts w:cs="Arial"/>
              </w:rPr>
            </w:pPr>
          </w:p>
        </w:tc>
      </w:tr>
      <w:tr w:rsidR="00A91B93" w:rsidRPr="00662AB3" w:rsidTr="00F33785">
        <w:tc>
          <w:tcPr>
            <w:tcW w:w="4103" w:type="dxa"/>
          </w:tcPr>
          <w:p w:rsidR="004751BD" w:rsidRPr="00662AB3" w:rsidRDefault="00A91B93" w:rsidP="002B45FA">
            <w:pPr>
              <w:pStyle w:val="BodyTextIndent"/>
              <w:ind w:left="0"/>
              <w:contextualSpacing/>
              <w:rPr>
                <w:rFonts w:asciiTheme="minorHAnsi" w:hAnsiTheme="minorHAnsi" w:cs="Arial"/>
                <w:sz w:val="22"/>
                <w:szCs w:val="22"/>
              </w:rPr>
            </w:pPr>
            <w:r w:rsidRPr="00662AB3">
              <w:rPr>
                <w:rFonts w:asciiTheme="minorHAnsi" w:hAnsiTheme="minorHAnsi" w:cs="Arial"/>
                <w:sz w:val="22"/>
                <w:szCs w:val="22"/>
              </w:rPr>
              <w:lastRenderedPageBreak/>
              <w:t>IV.B.1.g - The governing board’s self-evaluation processes for assessing board performance are clearly defined, implemented, and published in its policies or bylaws.</w:t>
            </w:r>
          </w:p>
          <w:p w:rsidR="002B45FA" w:rsidRPr="00662AB3" w:rsidRDefault="002B45FA" w:rsidP="002B45FA">
            <w:pPr>
              <w:pStyle w:val="BodyTextIndent"/>
              <w:ind w:left="0"/>
              <w:contextualSpacing/>
              <w:rPr>
                <w:rFonts w:asciiTheme="minorHAnsi" w:hAnsiTheme="minorHAnsi" w:cs="Arial"/>
                <w:sz w:val="22"/>
                <w:szCs w:val="22"/>
              </w:rPr>
            </w:pPr>
          </w:p>
        </w:tc>
        <w:tc>
          <w:tcPr>
            <w:tcW w:w="2845" w:type="dxa"/>
          </w:tcPr>
          <w:p w:rsidR="00837C4B" w:rsidRDefault="00A91B93" w:rsidP="00261393">
            <w:pPr>
              <w:jc w:val="center"/>
              <w:rPr>
                <w:rFonts w:cs="Arial"/>
              </w:rPr>
            </w:pPr>
            <w:r w:rsidRPr="00662AB3">
              <w:rPr>
                <w:rFonts w:cs="Arial"/>
              </w:rPr>
              <w:t>Partially meets</w:t>
            </w:r>
          </w:p>
          <w:p w:rsidR="00A91B93" w:rsidRPr="00662AB3" w:rsidRDefault="00A91B93" w:rsidP="00261393">
            <w:pPr>
              <w:jc w:val="center"/>
              <w:rPr>
                <w:rFonts w:cs="Arial"/>
              </w:rPr>
            </w:pPr>
            <w:r w:rsidRPr="00662AB3">
              <w:rPr>
                <w:rFonts w:cs="Arial"/>
              </w:rPr>
              <w:t xml:space="preserve"> the standard</w:t>
            </w:r>
          </w:p>
        </w:tc>
        <w:tc>
          <w:tcPr>
            <w:tcW w:w="4500" w:type="dxa"/>
          </w:tcPr>
          <w:p w:rsidR="00A91B93" w:rsidRPr="00662AB3" w:rsidRDefault="00A91B93" w:rsidP="00CA1C81">
            <w:pPr>
              <w:rPr>
                <w:rFonts w:cs="Arial"/>
              </w:rPr>
            </w:pPr>
            <w:r w:rsidRPr="00662AB3">
              <w:rPr>
                <w:rFonts w:cs="Arial"/>
              </w:rPr>
              <w:t xml:space="preserve">The Board will model best practices of continuous improvement by completing its evaluation process, taking appropriate action in response to the evaluation summary. </w:t>
            </w:r>
          </w:p>
          <w:p w:rsidR="00A91B93" w:rsidRPr="00662AB3" w:rsidRDefault="00A91B93" w:rsidP="00CA1C81">
            <w:pPr>
              <w:rPr>
                <w:rFonts w:cs="Arial"/>
              </w:rPr>
            </w:pPr>
          </w:p>
        </w:tc>
        <w:tc>
          <w:tcPr>
            <w:tcW w:w="1350" w:type="dxa"/>
            <w:shd w:val="clear" w:color="auto" w:fill="DBE5F1" w:themeFill="accent1" w:themeFillTint="33"/>
          </w:tcPr>
          <w:p w:rsidR="00A91B93" w:rsidRPr="00662AB3" w:rsidRDefault="00347C99" w:rsidP="00347C99">
            <w:pPr>
              <w:jc w:val="center"/>
              <w:rPr>
                <w:rFonts w:cs="Arial"/>
              </w:rPr>
            </w:pPr>
            <w:r>
              <w:rPr>
                <w:rFonts w:cs="Arial"/>
              </w:rPr>
              <w:t>District</w:t>
            </w:r>
          </w:p>
        </w:tc>
        <w:tc>
          <w:tcPr>
            <w:tcW w:w="1530" w:type="dxa"/>
          </w:tcPr>
          <w:p w:rsidR="00A91B93" w:rsidRPr="00662AB3" w:rsidRDefault="00347C99" w:rsidP="00347C99">
            <w:pPr>
              <w:jc w:val="center"/>
              <w:rPr>
                <w:rFonts w:cs="Arial"/>
              </w:rPr>
            </w:pPr>
            <w:r>
              <w:rPr>
                <w:rFonts w:cs="Arial"/>
              </w:rPr>
              <w:t>TBD</w:t>
            </w:r>
          </w:p>
        </w:tc>
      </w:tr>
      <w:tr w:rsidR="00A91B93" w:rsidRPr="00662AB3" w:rsidTr="00F33785">
        <w:tc>
          <w:tcPr>
            <w:tcW w:w="4103" w:type="dxa"/>
          </w:tcPr>
          <w:p w:rsidR="00A91B93" w:rsidRPr="00662AB3" w:rsidRDefault="00A91B93" w:rsidP="002B45FA">
            <w:pPr>
              <w:pStyle w:val="BodyTextIndent"/>
              <w:ind w:left="0"/>
              <w:contextualSpacing/>
              <w:rPr>
                <w:rFonts w:asciiTheme="minorHAnsi" w:hAnsiTheme="minorHAnsi" w:cs="Arial"/>
                <w:sz w:val="22"/>
                <w:szCs w:val="22"/>
              </w:rPr>
            </w:pPr>
            <w:r w:rsidRPr="00662AB3">
              <w:rPr>
                <w:rFonts w:asciiTheme="minorHAnsi" w:hAnsiTheme="minorHAnsi" w:cs="Arial"/>
                <w:sz w:val="22"/>
                <w:szCs w:val="22"/>
              </w:rPr>
              <w:t xml:space="preserve">IV.B.1.j. - The governing board has the responsibility for selecting &amp; evaluating the 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 In multi-college districts/systems, the governing board establishes a clearly defined policy for selecting &amp; evaluating the presidents of the colleges. </w:t>
            </w:r>
          </w:p>
          <w:p w:rsidR="002B45FA" w:rsidRPr="00662AB3" w:rsidRDefault="002B45FA"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asciiTheme="minorHAnsi" w:hAnsiTheme="minorHAnsi" w:cs="Arial"/>
                <w:sz w:val="22"/>
                <w:szCs w:val="22"/>
              </w:rPr>
            </w:pPr>
          </w:p>
          <w:p w:rsidR="002B45FA" w:rsidRDefault="002B45FA" w:rsidP="002B45FA">
            <w:pPr>
              <w:pStyle w:val="BodyTextIndent"/>
              <w:ind w:left="0"/>
              <w:contextualSpacing/>
              <w:rPr>
                <w:rFonts w:asciiTheme="minorHAnsi" w:hAnsiTheme="minorHAnsi" w:cs="Arial"/>
                <w:sz w:val="22"/>
                <w:szCs w:val="22"/>
              </w:rPr>
            </w:pPr>
          </w:p>
          <w:p w:rsidR="00662AB3" w:rsidRPr="00662AB3" w:rsidRDefault="00662AB3"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asciiTheme="minorHAnsi" w:hAnsiTheme="minorHAnsi" w:cs="Arial"/>
                <w:sz w:val="22"/>
                <w:szCs w:val="22"/>
              </w:rPr>
            </w:pPr>
          </w:p>
          <w:p w:rsidR="002B45FA" w:rsidRPr="00662AB3" w:rsidRDefault="002B45FA" w:rsidP="002B45FA">
            <w:pPr>
              <w:pStyle w:val="BodyTextIndent"/>
              <w:ind w:left="0"/>
              <w:contextualSpacing/>
              <w:rPr>
                <w:rFonts w:cs="Arial"/>
              </w:rPr>
            </w:pPr>
          </w:p>
        </w:tc>
        <w:tc>
          <w:tcPr>
            <w:tcW w:w="2845" w:type="dxa"/>
          </w:tcPr>
          <w:p w:rsidR="00837C4B" w:rsidRDefault="00A91B93" w:rsidP="00261393">
            <w:pPr>
              <w:jc w:val="center"/>
              <w:rPr>
                <w:rFonts w:cs="Arial"/>
              </w:rPr>
            </w:pPr>
            <w:r w:rsidRPr="00662AB3">
              <w:rPr>
                <w:rFonts w:cs="Arial"/>
              </w:rPr>
              <w:t>Partially meets</w:t>
            </w:r>
          </w:p>
          <w:p w:rsidR="00A91B93" w:rsidRPr="00662AB3" w:rsidRDefault="00A91B93" w:rsidP="00261393">
            <w:pPr>
              <w:jc w:val="center"/>
              <w:rPr>
                <w:rFonts w:cs="Arial"/>
              </w:rPr>
            </w:pPr>
            <w:r w:rsidRPr="00662AB3">
              <w:rPr>
                <w:rFonts w:cs="Arial"/>
              </w:rPr>
              <w:t xml:space="preserve"> the standard</w:t>
            </w:r>
          </w:p>
        </w:tc>
        <w:tc>
          <w:tcPr>
            <w:tcW w:w="4500" w:type="dxa"/>
          </w:tcPr>
          <w:p w:rsidR="00A91B93" w:rsidRPr="00662AB3" w:rsidRDefault="00A91B93" w:rsidP="00CA1C81">
            <w:pPr>
              <w:autoSpaceDE w:val="0"/>
              <w:autoSpaceDN w:val="0"/>
              <w:adjustRightInd w:val="0"/>
              <w:rPr>
                <w:rFonts w:cs="Arial"/>
              </w:rPr>
            </w:pPr>
            <w:r w:rsidRPr="00662AB3">
              <w:rPr>
                <w:rFonts w:cs="Arial"/>
              </w:rPr>
              <w:t>The College encourages the Board to continue to work on clarifying the delegation of authority through the development of an administrativ</w:t>
            </w:r>
            <w:r w:rsidR="00837C4B">
              <w:rPr>
                <w:rFonts w:cs="Arial"/>
              </w:rPr>
              <w:t>e procedure related to BP 2201 Bo</w:t>
            </w:r>
            <w:r w:rsidR="00E84639">
              <w:rPr>
                <w:rFonts w:cs="Arial"/>
              </w:rPr>
              <w:t xml:space="preserve">ard of Trustees’ Standards for </w:t>
            </w:r>
            <w:r w:rsidR="00837C4B">
              <w:rPr>
                <w:rFonts w:cs="Arial"/>
              </w:rPr>
              <w:t>Administration.</w:t>
            </w:r>
          </w:p>
          <w:p w:rsidR="00A91B93" w:rsidRPr="00662AB3" w:rsidRDefault="00A91B93" w:rsidP="00CA1C81">
            <w:pPr>
              <w:rPr>
                <w:rFonts w:cs="Arial"/>
              </w:rPr>
            </w:pPr>
          </w:p>
        </w:tc>
        <w:tc>
          <w:tcPr>
            <w:tcW w:w="1350" w:type="dxa"/>
            <w:shd w:val="clear" w:color="auto" w:fill="DBE5F1" w:themeFill="accent1" w:themeFillTint="33"/>
          </w:tcPr>
          <w:p w:rsidR="00A91B93" w:rsidRPr="00662AB3" w:rsidRDefault="00A700C0" w:rsidP="00A700C0">
            <w:pPr>
              <w:jc w:val="center"/>
              <w:rPr>
                <w:rFonts w:cs="Arial"/>
              </w:rPr>
            </w:pPr>
            <w:r>
              <w:rPr>
                <w:rFonts w:cs="Arial"/>
              </w:rPr>
              <w:t>District</w:t>
            </w:r>
          </w:p>
        </w:tc>
        <w:tc>
          <w:tcPr>
            <w:tcW w:w="1530" w:type="dxa"/>
          </w:tcPr>
          <w:p w:rsidR="00A91B93" w:rsidRDefault="00A700C0" w:rsidP="00A700C0">
            <w:pPr>
              <w:jc w:val="center"/>
              <w:rPr>
                <w:rFonts w:cs="Arial"/>
              </w:rPr>
            </w:pPr>
            <w:r>
              <w:rPr>
                <w:rFonts w:cs="Arial"/>
              </w:rPr>
              <w:t>TBD</w:t>
            </w: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Default="00A33205" w:rsidP="00A700C0">
            <w:pPr>
              <w:jc w:val="center"/>
              <w:rPr>
                <w:rFonts w:cs="Arial"/>
              </w:rPr>
            </w:pPr>
          </w:p>
          <w:p w:rsidR="00A33205" w:rsidRPr="00662AB3" w:rsidRDefault="00A33205" w:rsidP="00A700C0">
            <w:pPr>
              <w:jc w:val="center"/>
              <w:rPr>
                <w:rFonts w:cs="Arial"/>
              </w:rPr>
            </w:pPr>
          </w:p>
        </w:tc>
      </w:tr>
      <w:tr w:rsidR="00A91B93" w:rsidRPr="00662AB3" w:rsidTr="00F33785">
        <w:tc>
          <w:tcPr>
            <w:tcW w:w="4103" w:type="dxa"/>
          </w:tcPr>
          <w:p w:rsidR="00A91B93" w:rsidRPr="00662AB3" w:rsidRDefault="00A91B93" w:rsidP="00CA1C81">
            <w:pPr>
              <w:pStyle w:val="BodyText"/>
              <w:rPr>
                <w:rFonts w:asciiTheme="minorHAnsi" w:hAnsiTheme="minorHAnsi" w:cs="Arial"/>
                <w:sz w:val="22"/>
              </w:rPr>
            </w:pPr>
            <w:r w:rsidRPr="00662AB3">
              <w:rPr>
                <w:rFonts w:asciiTheme="minorHAnsi" w:hAnsiTheme="minorHAnsi" w:cs="Arial"/>
                <w:sz w:val="22"/>
              </w:rPr>
              <w:lastRenderedPageBreak/>
              <w:t>IV.B.3.g. - The district/system regularly evaluates district/system role delineation and governance and decision-making structures and processes to assure their integrity and effectiveness in assisting the colleges in meeting educational goals. The district/system widely communicates the results of these evaluations and uses them as the basis for improvement.</w:t>
            </w:r>
          </w:p>
          <w:p w:rsidR="00A91B93" w:rsidRPr="00662AB3" w:rsidRDefault="00A91B93" w:rsidP="00CA1C81">
            <w:pPr>
              <w:pStyle w:val="BodyText"/>
              <w:rPr>
                <w:rFonts w:asciiTheme="minorHAnsi" w:hAnsiTheme="minorHAnsi" w:cs="Arial"/>
                <w:sz w:val="22"/>
              </w:rPr>
            </w:pPr>
          </w:p>
          <w:p w:rsidR="00A91B93" w:rsidRPr="00662AB3" w:rsidRDefault="00A91B93" w:rsidP="00BA7B47">
            <w:pPr>
              <w:rPr>
                <w:rFonts w:cs="Arial"/>
              </w:rPr>
            </w:pPr>
          </w:p>
        </w:tc>
        <w:tc>
          <w:tcPr>
            <w:tcW w:w="2845" w:type="dxa"/>
          </w:tcPr>
          <w:p w:rsidR="00E84639" w:rsidRDefault="00A91B93" w:rsidP="00EF13E1">
            <w:pPr>
              <w:jc w:val="center"/>
              <w:rPr>
                <w:rFonts w:cs="Arial"/>
              </w:rPr>
            </w:pPr>
            <w:r w:rsidRPr="00662AB3">
              <w:rPr>
                <w:rFonts w:cs="Arial"/>
              </w:rPr>
              <w:t>Partially meets</w:t>
            </w:r>
          </w:p>
          <w:p w:rsidR="00A91B93" w:rsidRPr="00662AB3" w:rsidRDefault="00E84639" w:rsidP="00E84639">
            <w:pPr>
              <w:rPr>
                <w:rFonts w:cs="Arial"/>
              </w:rPr>
            </w:pPr>
            <w:r>
              <w:rPr>
                <w:rFonts w:cs="Arial"/>
              </w:rPr>
              <w:t xml:space="preserve">             </w:t>
            </w:r>
            <w:r w:rsidR="00A91B93" w:rsidRPr="00662AB3">
              <w:rPr>
                <w:rFonts w:cs="Arial"/>
              </w:rPr>
              <w:t xml:space="preserve"> the standard</w:t>
            </w:r>
          </w:p>
        </w:tc>
        <w:tc>
          <w:tcPr>
            <w:tcW w:w="4500" w:type="dxa"/>
          </w:tcPr>
          <w:p w:rsidR="00A91B93" w:rsidRPr="00662AB3" w:rsidRDefault="00A91B93" w:rsidP="00CA1C81">
            <w:pPr>
              <w:pStyle w:val="BodyText"/>
              <w:rPr>
                <w:rFonts w:asciiTheme="minorHAnsi" w:eastAsia="Calibri" w:hAnsiTheme="minorHAnsi" w:cs="Arial"/>
                <w:sz w:val="22"/>
              </w:rPr>
            </w:pPr>
            <w:r w:rsidRPr="00662AB3">
              <w:rPr>
                <w:rFonts w:asciiTheme="minorHAnsi" w:eastAsia="Calibri" w:hAnsiTheme="minorHAnsi" w:cs="Arial"/>
                <w:sz w:val="22"/>
              </w:rPr>
              <w:t>The College recommends that the District Office develop and implement an administrative program review process for self-improvement of its services to the colleges.</w:t>
            </w:r>
          </w:p>
          <w:p w:rsidR="00A91B93" w:rsidRPr="00662AB3" w:rsidRDefault="00A91B93" w:rsidP="00FB7B9C">
            <w:pPr>
              <w:ind w:firstLine="720"/>
              <w:rPr>
                <w:rFonts w:cs="Arial"/>
              </w:rPr>
            </w:pPr>
          </w:p>
        </w:tc>
        <w:tc>
          <w:tcPr>
            <w:tcW w:w="1350" w:type="dxa"/>
            <w:shd w:val="clear" w:color="auto" w:fill="DBE5F1" w:themeFill="accent1" w:themeFillTint="33"/>
          </w:tcPr>
          <w:p w:rsidR="00A91B93" w:rsidRPr="00662AB3" w:rsidRDefault="003972A9" w:rsidP="00BA7B47">
            <w:pPr>
              <w:rPr>
                <w:rFonts w:cs="Arial"/>
              </w:rPr>
            </w:pPr>
            <w:r>
              <w:rPr>
                <w:rFonts w:cs="Arial"/>
              </w:rPr>
              <w:t xml:space="preserve">    District</w:t>
            </w:r>
          </w:p>
        </w:tc>
        <w:tc>
          <w:tcPr>
            <w:tcW w:w="1530" w:type="dxa"/>
          </w:tcPr>
          <w:p w:rsidR="00A91B93" w:rsidRPr="00662AB3" w:rsidRDefault="003972A9" w:rsidP="00BA7B47">
            <w:pPr>
              <w:rPr>
                <w:rFonts w:cs="Arial"/>
              </w:rPr>
            </w:pPr>
            <w:r>
              <w:rPr>
                <w:rFonts w:cs="Arial"/>
              </w:rPr>
              <w:t xml:space="preserve">        TBD</w:t>
            </w:r>
          </w:p>
        </w:tc>
      </w:tr>
    </w:tbl>
    <w:p w:rsidR="003B0EEC" w:rsidRPr="002702A0" w:rsidRDefault="003B0EEC">
      <w:pPr>
        <w:rPr>
          <w:sz w:val="20"/>
          <w:szCs w:val="20"/>
        </w:rPr>
      </w:pPr>
    </w:p>
    <w:p w:rsidR="00B47D73" w:rsidRPr="002702A0" w:rsidRDefault="00B47D73">
      <w:pPr>
        <w:rPr>
          <w:sz w:val="20"/>
          <w:szCs w:val="20"/>
        </w:rPr>
      </w:pPr>
    </w:p>
    <w:sectPr w:rsidR="00B47D73" w:rsidRPr="002702A0" w:rsidSect="006D507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F2" w:rsidRDefault="00E048F2" w:rsidP="003B0EEC">
      <w:pPr>
        <w:spacing w:after="0" w:line="240" w:lineRule="auto"/>
      </w:pPr>
      <w:r>
        <w:separator/>
      </w:r>
    </w:p>
  </w:endnote>
  <w:endnote w:type="continuationSeparator" w:id="0">
    <w:p w:rsidR="00E048F2" w:rsidRDefault="00E048F2" w:rsidP="003B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0" w:rsidRDefault="00923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47" w:rsidRDefault="00BA7B47" w:rsidP="006D507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0" w:rsidRDefault="00923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F2" w:rsidRDefault="00E048F2" w:rsidP="003B0EEC">
      <w:pPr>
        <w:spacing w:after="0" w:line="240" w:lineRule="auto"/>
      </w:pPr>
      <w:r>
        <w:separator/>
      </w:r>
    </w:p>
  </w:footnote>
  <w:footnote w:type="continuationSeparator" w:id="0">
    <w:p w:rsidR="00E048F2" w:rsidRDefault="00E048F2" w:rsidP="003B0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0" w:rsidRDefault="00923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6"/>
        <w:szCs w:val="36"/>
      </w:rPr>
      <w:alias w:val="Title"/>
      <w:id w:val="462803698"/>
      <w:placeholder>
        <w:docPart w:val="5201D30BC69A42BEBF5EBD29A86225E1"/>
      </w:placeholder>
      <w:dataBinding w:prefixMappings="xmlns:ns0='http://schemas.openxmlformats.org/package/2006/metadata/core-properties' xmlns:ns1='http://purl.org/dc/elements/1.1/'" w:xpath="/ns0:coreProperties[1]/ns1:title[1]" w:storeItemID="{6C3C8BC8-F283-45AE-878A-BAB7291924A1}"/>
      <w:text/>
    </w:sdtPr>
    <w:sdtContent>
      <w:p w:rsidR="00BA7B47" w:rsidRDefault="00923C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6"/>
            <w:szCs w:val="36"/>
          </w:rPr>
          <w:t>CCC Actionable Improvement Plans and Work Plan 2012–2013</w:t>
        </w:r>
      </w:p>
    </w:sdtContent>
  </w:sdt>
  <w:p w:rsidR="00BA7B47" w:rsidRDefault="00BA7B47">
    <w:pPr>
      <w:pStyle w:val="Header"/>
      <w:rPr>
        <w:sz w:val="10"/>
        <w:szCs w:val="10"/>
      </w:rPr>
    </w:pPr>
  </w:p>
  <w:tbl>
    <w:tblPr>
      <w:tblStyle w:val="TableGrid"/>
      <w:tblW w:w="0" w:type="auto"/>
      <w:tblLayout w:type="fixed"/>
      <w:tblLook w:val="04A0"/>
    </w:tblPr>
    <w:tblGrid>
      <w:gridCol w:w="4103"/>
      <w:gridCol w:w="2845"/>
      <w:gridCol w:w="4500"/>
      <w:gridCol w:w="1350"/>
      <w:gridCol w:w="1530"/>
    </w:tblGrid>
    <w:tr w:rsidR="00BA7B47" w:rsidRPr="000E4E8F" w:rsidTr="00BA7B47">
      <w:tc>
        <w:tcPr>
          <w:tcW w:w="4103" w:type="dxa"/>
        </w:tcPr>
        <w:p w:rsidR="00BA7B47" w:rsidRPr="007F1B6D" w:rsidRDefault="00BA7B47" w:rsidP="00BA7B47">
          <w:pPr>
            <w:jc w:val="center"/>
            <w:rPr>
              <w:rFonts w:ascii="Arial" w:hAnsi="Arial" w:cs="Arial"/>
              <w:b/>
              <w:color w:val="C00000"/>
              <w:sz w:val="20"/>
              <w:szCs w:val="20"/>
            </w:rPr>
          </w:pPr>
        </w:p>
        <w:p w:rsidR="00BA7B47" w:rsidRPr="007F1B6D" w:rsidRDefault="00BA7B47" w:rsidP="00BA7B47">
          <w:pPr>
            <w:jc w:val="center"/>
            <w:rPr>
              <w:rFonts w:ascii="Arial" w:hAnsi="Arial" w:cs="Arial"/>
              <w:b/>
              <w:color w:val="C00000"/>
              <w:sz w:val="20"/>
              <w:szCs w:val="20"/>
            </w:rPr>
          </w:pPr>
          <w:r w:rsidRPr="007F1B6D">
            <w:rPr>
              <w:rFonts w:ascii="Arial" w:hAnsi="Arial" w:cs="Arial"/>
              <w:b/>
              <w:color w:val="C00000"/>
              <w:sz w:val="20"/>
              <w:szCs w:val="20"/>
            </w:rPr>
            <w:t>STANDARD</w:t>
          </w:r>
        </w:p>
      </w:tc>
      <w:tc>
        <w:tcPr>
          <w:tcW w:w="2845" w:type="dxa"/>
        </w:tcPr>
        <w:p w:rsidR="00BA7B47" w:rsidRPr="007F1B6D" w:rsidRDefault="00BA7B47" w:rsidP="00BA7B47">
          <w:pPr>
            <w:jc w:val="center"/>
            <w:rPr>
              <w:rFonts w:ascii="Arial" w:hAnsi="Arial" w:cs="Arial"/>
              <w:b/>
              <w:color w:val="C00000"/>
              <w:sz w:val="20"/>
              <w:szCs w:val="20"/>
            </w:rPr>
          </w:pPr>
        </w:p>
        <w:p w:rsidR="00BA7B47" w:rsidRPr="007F1B6D" w:rsidRDefault="00BA7B47" w:rsidP="00BA7B47">
          <w:pPr>
            <w:jc w:val="center"/>
            <w:rPr>
              <w:rFonts w:ascii="Arial" w:hAnsi="Arial" w:cs="Arial"/>
              <w:b/>
              <w:color w:val="C00000"/>
              <w:sz w:val="20"/>
              <w:szCs w:val="20"/>
            </w:rPr>
          </w:pPr>
          <w:r w:rsidRPr="007F1B6D">
            <w:rPr>
              <w:rFonts w:ascii="Arial" w:hAnsi="Arial" w:cs="Arial"/>
              <w:b/>
              <w:color w:val="C00000"/>
              <w:sz w:val="20"/>
              <w:szCs w:val="20"/>
            </w:rPr>
            <w:t>EVALUATION</w:t>
          </w:r>
        </w:p>
      </w:tc>
      <w:tc>
        <w:tcPr>
          <w:tcW w:w="4500" w:type="dxa"/>
        </w:tcPr>
        <w:p w:rsidR="00BA7B47" w:rsidRPr="007F1B6D" w:rsidRDefault="00BA7B47" w:rsidP="00BA7B47">
          <w:pPr>
            <w:jc w:val="center"/>
            <w:rPr>
              <w:rFonts w:ascii="Arial" w:hAnsi="Arial" w:cs="Arial"/>
              <w:b/>
              <w:color w:val="C00000"/>
              <w:sz w:val="20"/>
              <w:szCs w:val="20"/>
            </w:rPr>
          </w:pPr>
        </w:p>
        <w:p w:rsidR="00BA7B47" w:rsidRPr="007F1B6D" w:rsidRDefault="00BA7B47" w:rsidP="00BA7B47">
          <w:pPr>
            <w:jc w:val="center"/>
            <w:rPr>
              <w:rFonts w:ascii="Arial" w:hAnsi="Arial" w:cs="Arial"/>
              <w:b/>
              <w:color w:val="C00000"/>
              <w:sz w:val="20"/>
              <w:szCs w:val="20"/>
            </w:rPr>
          </w:pPr>
          <w:r w:rsidRPr="007F1B6D">
            <w:rPr>
              <w:rFonts w:ascii="Arial" w:hAnsi="Arial" w:cs="Arial"/>
              <w:b/>
              <w:color w:val="C00000"/>
              <w:sz w:val="20"/>
              <w:szCs w:val="20"/>
            </w:rPr>
            <w:t>ACTIONABLE IMPROVEMENT PLAN</w:t>
          </w:r>
        </w:p>
      </w:tc>
      <w:tc>
        <w:tcPr>
          <w:tcW w:w="1350" w:type="dxa"/>
        </w:tcPr>
        <w:p w:rsidR="00BA7B47" w:rsidRPr="007F1B6D" w:rsidRDefault="00BA7B47" w:rsidP="007F1B6D">
          <w:pPr>
            <w:ind w:right="-1818"/>
            <w:rPr>
              <w:rFonts w:ascii="Arial" w:hAnsi="Arial" w:cs="Arial"/>
              <w:b/>
              <w:color w:val="C00000"/>
              <w:sz w:val="20"/>
              <w:szCs w:val="20"/>
            </w:rPr>
          </w:pPr>
          <w:r w:rsidRPr="007F1B6D">
            <w:rPr>
              <w:rFonts w:ascii="Arial" w:hAnsi="Arial" w:cs="Arial"/>
              <w:b/>
              <w:color w:val="C00000"/>
              <w:sz w:val="20"/>
              <w:szCs w:val="20"/>
            </w:rPr>
            <w:t xml:space="preserve">   Person</w:t>
          </w:r>
        </w:p>
        <w:p w:rsidR="00BA7B47" w:rsidRPr="007F1B6D" w:rsidRDefault="00BA7B47" w:rsidP="007F1B6D">
          <w:pPr>
            <w:ind w:right="-1818"/>
            <w:rPr>
              <w:rFonts w:ascii="Arial" w:hAnsi="Arial" w:cs="Arial"/>
              <w:b/>
              <w:color w:val="C00000"/>
              <w:sz w:val="20"/>
              <w:szCs w:val="20"/>
            </w:rPr>
          </w:pPr>
          <w:r w:rsidRPr="007F1B6D">
            <w:rPr>
              <w:rFonts w:ascii="Arial" w:hAnsi="Arial" w:cs="Arial"/>
              <w:b/>
              <w:color w:val="C00000"/>
              <w:sz w:val="20"/>
              <w:szCs w:val="20"/>
            </w:rPr>
            <w:t>Responsible</w:t>
          </w:r>
        </w:p>
        <w:p w:rsidR="00BA7B47" w:rsidRPr="007F1B6D" w:rsidRDefault="00BA7B47" w:rsidP="007F1B6D">
          <w:pPr>
            <w:ind w:right="-1818"/>
            <w:rPr>
              <w:rFonts w:ascii="Arial" w:hAnsi="Arial" w:cs="Arial"/>
              <w:b/>
              <w:color w:val="C00000"/>
              <w:sz w:val="20"/>
              <w:szCs w:val="20"/>
            </w:rPr>
          </w:pPr>
        </w:p>
      </w:tc>
      <w:tc>
        <w:tcPr>
          <w:tcW w:w="1530" w:type="dxa"/>
        </w:tcPr>
        <w:p w:rsidR="00BA7B47" w:rsidRPr="007F1B6D" w:rsidRDefault="00BA7B47" w:rsidP="00BA7B47">
          <w:pPr>
            <w:ind w:right="-1818"/>
            <w:rPr>
              <w:rFonts w:ascii="Arial" w:hAnsi="Arial" w:cs="Arial"/>
              <w:b/>
              <w:color w:val="C00000"/>
              <w:sz w:val="20"/>
              <w:szCs w:val="20"/>
            </w:rPr>
          </w:pPr>
          <w:r w:rsidRPr="007F1B6D">
            <w:rPr>
              <w:rFonts w:ascii="Arial" w:hAnsi="Arial" w:cs="Arial"/>
              <w:b/>
              <w:color w:val="C00000"/>
              <w:sz w:val="20"/>
              <w:szCs w:val="20"/>
            </w:rPr>
            <w:t xml:space="preserve">  Completion</w:t>
          </w:r>
        </w:p>
        <w:p w:rsidR="00BA7B47" w:rsidRPr="007F1B6D" w:rsidRDefault="00BA7B47" w:rsidP="00BA7B47">
          <w:pPr>
            <w:ind w:right="-1818"/>
            <w:rPr>
              <w:rFonts w:ascii="Arial" w:hAnsi="Arial" w:cs="Arial"/>
              <w:b/>
              <w:color w:val="C00000"/>
              <w:sz w:val="20"/>
              <w:szCs w:val="20"/>
            </w:rPr>
          </w:pPr>
          <w:r w:rsidRPr="007F1B6D">
            <w:rPr>
              <w:rFonts w:ascii="Arial" w:hAnsi="Arial" w:cs="Arial"/>
              <w:b/>
              <w:color w:val="C00000"/>
              <w:sz w:val="20"/>
              <w:szCs w:val="20"/>
            </w:rPr>
            <w:t xml:space="preserve">        Date</w:t>
          </w:r>
        </w:p>
        <w:p w:rsidR="00BA7B47" w:rsidRPr="007F1B6D" w:rsidRDefault="00BA7B47" w:rsidP="00BA7B47">
          <w:pPr>
            <w:ind w:right="-1818"/>
            <w:rPr>
              <w:rFonts w:ascii="Arial" w:hAnsi="Arial" w:cs="Arial"/>
              <w:b/>
              <w:color w:val="C00000"/>
              <w:sz w:val="20"/>
              <w:szCs w:val="20"/>
            </w:rPr>
          </w:pPr>
        </w:p>
      </w:tc>
    </w:tr>
  </w:tbl>
  <w:p w:rsidR="00BA7B47" w:rsidRPr="00383E84" w:rsidRDefault="00BA7B47">
    <w:pPr>
      <w:pStyle w:val="Head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0" w:rsidRDefault="00923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B0EEC"/>
    <w:rsid w:val="000032AF"/>
    <w:rsid w:val="00007189"/>
    <w:rsid w:val="00007B05"/>
    <w:rsid w:val="00010873"/>
    <w:rsid w:val="00012B85"/>
    <w:rsid w:val="00013F15"/>
    <w:rsid w:val="0001438B"/>
    <w:rsid w:val="000166C6"/>
    <w:rsid w:val="00016728"/>
    <w:rsid w:val="00025EEE"/>
    <w:rsid w:val="00033669"/>
    <w:rsid w:val="0003442B"/>
    <w:rsid w:val="00036AB6"/>
    <w:rsid w:val="000406A0"/>
    <w:rsid w:val="00041D63"/>
    <w:rsid w:val="000423AB"/>
    <w:rsid w:val="0004311C"/>
    <w:rsid w:val="00043EFC"/>
    <w:rsid w:val="000465C3"/>
    <w:rsid w:val="0004685A"/>
    <w:rsid w:val="000575D8"/>
    <w:rsid w:val="00060535"/>
    <w:rsid w:val="00063245"/>
    <w:rsid w:val="000643EF"/>
    <w:rsid w:val="00067797"/>
    <w:rsid w:val="00067B48"/>
    <w:rsid w:val="0007746B"/>
    <w:rsid w:val="0008072C"/>
    <w:rsid w:val="00082F3C"/>
    <w:rsid w:val="00092FF7"/>
    <w:rsid w:val="000A3634"/>
    <w:rsid w:val="000B1F16"/>
    <w:rsid w:val="000B2623"/>
    <w:rsid w:val="000B67F5"/>
    <w:rsid w:val="000C03D4"/>
    <w:rsid w:val="000C3889"/>
    <w:rsid w:val="000C5C53"/>
    <w:rsid w:val="000C7AE6"/>
    <w:rsid w:val="000D0987"/>
    <w:rsid w:val="000D19AD"/>
    <w:rsid w:val="000D52C0"/>
    <w:rsid w:val="000E0691"/>
    <w:rsid w:val="000E4E42"/>
    <w:rsid w:val="000E4E8F"/>
    <w:rsid w:val="000E5467"/>
    <w:rsid w:val="000F056F"/>
    <w:rsid w:val="000F0C06"/>
    <w:rsid w:val="000F4AC9"/>
    <w:rsid w:val="00105318"/>
    <w:rsid w:val="0010669A"/>
    <w:rsid w:val="00110934"/>
    <w:rsid w:val="00117471"/>
    <w:rsid w:val="00120C75"/>
    <w:rsid w:val="001237D1"/>
    <w:rsid w:val="001339E1"/>
    <w:rsid w:val="00136C9F"/>
    <w:rsid w:val="00141761"/>
    <w:rsid w:val="001454D3"/>
    <w:rsid w:val="001467B1"/>
    <w:rsid w:val="00147888"/>
    <w:rsid w:val="00147ABE"/>
    <w:rsid w:val="00150884"/>
    <w:rsid w:val="001516ED"/>
    <w:rsid w:val="00151838"/>
    <w:rsid w:val="001542DB"/>
    <w:rsid w:val="0015452D"/>
    <w:rsid w:val="00160E50"/>
    <w:rsid w:val="00162218"/>
    <w:rsid w:val="00162F69"/>
    <w:rsid w:val="00164537"/>
    <w:rsid w:val="0016774D"/>
    <w:rsid w:val="001715F7"/>
    <w:rsid w:val="001727D4"/>
    <w:rsid w:val="00173387"/>
    <w:rsid w:val="00173BBA"/>
    <w:rsid w:val="00174E05"/>
    <w:rsid w:val="00182C04"/>
    <w:rsid w:val="001905DA"/>
    <w:rsid w:val="001963AA"/>
    <w:rsid w:val="001964A8"/>
    <w:rsid w:val="001A68D8"/>
    <w:rsid w:val="001B411A"/>
    <w:rsid w:val="001B4982"/>
    <w:rsid w:val="001B5C89"/>
    <w:rsid w:val="001B68A4"/>
    <w:rsid w:val="001C419B"/>
    <w:rsid w:val="001D2D63"/>
    <w:rsid w:val="001D3FC4"/>
    <w:rsid w:val="001E13DC"/>
    <w:rsid w:val="001E141B"/>
    <w:rsid w:val="001E1751"/>
    <w:rsid w:val="001E28FE"/>
    <w:rsid w:val="001E2978"/>
    <w:rsid w:val="001E2CF7"/>
    <w:rsid w:val="001E2EC1"/>
    <w:rsid w:val="001F55DE"/>
    <w:rsid w:val="002032AB"/>
    <w:rsid w:val="002033D6"/>
    <w:rsid w:val="0020568A"/>
    <w:rsid w:val="00205943"/>
    <w:rsid w:val="00205D09"/>
    <w:rsid w:val="00206BB8"/>
    <w:rsid w:val="0021022A"/>
    <w:rsid w:val="0021143F"/>
    <w:rsid w:val="00214935"/>
    <w:rsid w:val="002154C9"/>
    <w:rsid w:val="0022079A"/>
    <w:rsid w:val="002237CE"/>
    <w:rsid w:val="0023571F"/>
    <w:rsid w:val="002365A9"/>
    <w:rsid w:val="00236A16"/>
    <w:rsid w:val="0024096C"/>
    <w:rsid w:val="00242AC7"/>
    <w:rsid w:val="002444AC"/>
    <w:rsid w:val="00246C68"/>
    <w:rsid w:val="002479C7"/>
    <w:rsid w:val="002506F2"/>
    <w:rsid w:val="002525E3"/>
    <w:rsid w:val="00256E10"/>
    <w:rsid w:val="00261393"/>
    <w:rsid w:val="00261B85"/>
    <w:rsid w:val="00262637"/>
    <w:rsid w:val="00262913"/>
    <w:rsid w:val="00262EAE"/>
    <w:rsid w:val="00265B3E"/>
    <w:rsid w:val="0026683B"/>
    <w:rsid w:val="00266C6A"/>
    <w:rsid w:val="00267B8C"/>
    <w:rsid w:val="002702A0"/>
    <w:rsid w:val="00270603"/>
    <w:rsid w:val="00271472"/>
    <w:rsid w:val="00276215"/>
    <w:rsid w:val="0028504A"/>
    <w:rsid w:val="0028539A"/>
    <w:rsid w:val="00286130"/>
    <w:rsid w:val="0028648D"/>
    <w:rsid w:val="00287305"/>
    <w:rsid w:val="002875AA"/>
    <w:rsid w:val="002878C8"/>
    <w:rsid w:val="00291478"/>
    <w:rsid w:val="0029326F"/>
    <w:rsid w:val="00295703"/>
    <w:rsid w:val="00295EE2"/>
    <w:rsid w:val="00296E85"/>
    <w:rsid w:val="002A38C5"/>
    <w:rsid w:val="002A5B2A"/>
    <w:rsid w:val="002A6F51"/>
    <w:rsid w:val="002B45FA"/>
    <w:rsid w:val="002C3D9E"/>
    <w:rsid w:val="002D2042"/>
    <w:rsid w:val="002E34AB"/>
    <w:rsid w:val="002E4152"/>
    <w:rsid w:val="002E4B2D"/>
    <w:rsid w:val="002E7507"/>
    <w:rsid w:val="002F4667"/>
    <w:rsid w:val="002F7464"/>
    <w:rsid w:val="00302DAB"/>
    <w:rsid w:val="003035C0"/>
    <w:rsid w:val="00307433"/>
    <w:rsid w:val="003075C0"/>
    <w:rsid w:val="00312C1B"/>
    <w:rsid w:val="00320D19"/>
    <w:rsid w:val="00321553"/>
    <w:rsid w:val="0032198D"/>
    <w:rsid w:val="00324F08"/>
    <w:rsid w:val="00326532"/>
    <w:rsid w:val="00332112"/>
    <w:rsid w:val="00332ED2"/>
    <w:rsid w:val="00332F06"/>
    <w:rsid w:val="003449C5"/>
    <w:rsid w:val="00346304"/>
    <w:rsid w:val="00347C99"/>
    <w:rsid w:val="00357BB7"/>
    <w:rsid w:val="00360EBB"/>
    <w:rsid w:val="00365DA6"/>
    <w:rsid w:val="00366587"/>
    <w:rsid w:val="00367226"/>
    <w:rsid w:val="00367CE8"/>
    <w:rsid w:val="00372A3E"/>
    <w:rsid w:val="00372AEF"/>
    <w:rsid w:val="0037380D"/>
    <w:rsid w:val="003761DE"/>
    <w:rsid w:val="00383E84"/>
    <w:rsid w:val="0038660F"/>
    <w:rsid w:val="00387E75"/>
    <w:rsid w:val="003901F6"/>
    <w:rsid w:val="00390F7D"/>
    <w:rsid w:val="003972A9"/>
    <w:rsid w:val="003A0C7B"/>
    <w:rsid w:val="003A1BE1"/>
    <w:rsid w:val="003A5324"/>
    <w:rsid w:val="003A6BC7"/>
    <w:rsid w:val="003B0261"/>
    <w:rsid w:val="003B0EEC"/>
    <w:rsid w:val="003B46F3"/>
    <w:rsid w:val="003B48CF"/>
    <w:rsid w:val="003C1C5E"/>
    <w:rsid w:val="003C3D44"/>
    <w:rsid w:val="003C6ACA"/>
    <w:rsid w:val="003D36D1"/>
    <w:rsid w:val="003D4EA1"/>
    <w:rsid w:val="003F17CB"/>
    <w:rsid w:val="0040145E"/>
    <w:rsid w:val="00402BC6"/>
    <w:rsid w:val="00402D0A"/>
    <w:rsid w:val="00403FEF"/>
    <w:rsid w:val="00404B9B"/>
    <w:rsid w:val="00406ECB"/>
    <w:rsid w:val="00407AC1"/>
    <w:rsid w:val="00421584"/>
    <w:rsid w:val="0042389D"/>
    <w:rsid w:val="004320B8"/>
    <w:rsid w:val="0043236A"/>
    <w:rsid w:val="004329C5"/>
    <w:rsid w:val="0043300C"/>
    <w:rsid w:val="00434B3E"/>
    <w:rsid w:val="00436D49"/>
    <w:rsid w:val="004376B8"/>
    <w:rsid w:val="00440BBE"/>
    <w:rsid w:val="00441906"/>
    <w:rsid w:val="00443132"/>
    <w:rsid w:val="00450907"/>
    <w:rsid w:val="0045192F"/>
    <w:rsid w:val="0045440D"/>
    <w:rsid w:val="004551F3"/>
    <w:rsid w:val="00455893"/>
    <w:rsid w:val="00456C40"/>
    <w:rsid w:val="00461FF3"/>
    <w:rsid w:val="00464139"/>
    <w:rsid w:val="0046648C"/>
    <w:rsid w:val="004672D5"/>
    <w:rsid w:val="00467C6C"/>
    <w:rsid w:val="004751BD"/>
    <w:rsid w:val="0048155F"/>
    <w:rsid w:val="00486AF6"/>
    <w:rsid w:val="00493C59"/>
    <w:rsid w:val="004952A4"/>
    <w:rsid w:val="00495874"/>
    <w:rsid w:val="00495CA0"/>
    <w:rsid w:val="00497A25"/>
    <w:rsid w:val="004A06C8"/>
    <w:rsid w:val="004A13C8"/>
    <w:rsid w:val="004A1C29"/>
    <w:rsid w:val="004A3012"/>
    <w:rsid w:val="004A60D2"/>
    <w:rsid w:val="004B02B3"/>
    <w:rsid w:val="004B03ED"/>
    <w:rsid w:val="004B3285"/>
    <w:rsid w:val="004B3F14"/>
    <w:rsid w:val="004B4970"/>
    <w:rsid w:val="004B56A5"/>
    <w:rsid w:val="004C0DA8"/>
    <w:rsid w:val="004C2AC3"/>
    <w:rsid w:val="004C6902"/>
    <w:rsid w:val="004D247B"/>
    <w:rsid w:val="004D4EDF"/>
    <w:rsid w:val="004D50EF"/>
    <w:rsid w:val="004D5567"/>
    <w:rsid w:val="004D67F4"/>
    <w:rsid w:val="004D6C51"/>
    <w:rsid w:val="004E05AD"/>
    <w:rsid w:val="004E3D2C"/>
    <w:rsid w:val="004E4AAD"/>
    <w:rsid w:val="004E52CB"/>
    <w:rsid w:val="004E5588"/>
    <w:rsid w:val="004E627A"/>
    <w:rsid w:val="004E65CF"/>
    <w:rsid w:val="00502D3F"/>
    <w:rsid w:val="00507D3A"/>
    <w:rsid w:val="00514F02"/>
    <w:rsid w:val="0051645C"/>
    <w:rsid w:val="0051683D"/>
    <w:rsid w:val="00523190"/>
    <w:rsid w:val="005243E6"/>
    <w:rsid w:val="00531FB8"/>
    <w:rsid w:val="00532015"/>
    <w:rsid w:val="00551AB2"/>
    <w:rsid w:val="00552410"/>
    <w:rsid w:val="00553B53"/>
    <w:rsid w:val="00554017"/>
    <w:rsid w:val="00555407"/>
    <w:rsid w:val="005554B1"/>
    <w:rsid w:val="00555ACC"/>
    <w:rsid w:val="00556210"/>
    <w:rsid w:val="00556531"/>
    <w:rsid w:val="00564074"/>
    <w:rsid w:val="00570A0C"/>
    <w:rsid w:val="00572372"/>
    <w:rsid w:val="005747BA"/>
    <w:rsid w:val="005777BC"/>
    <w:rsid w:val="00584D02"/>
    <w:rsid w:val="00585EC5"/>
    <w:rsid w:val="00586958"/>
    <w:rsid w:val="00586C82"/>
    <w:rsid w:val="00592161"/>
    <w:rsid w:val="00596F52"/>
    <w:rsid w:val="005A2F17"/>
    <w:rsid w:val="005A7419"/>
    <w:rsid w:val="005B02CA"/>
    <w:rsid w:val="005B15C4"/>
    <w:rsid w:val="005B2229"/>
    <w:rsid w:val="005B2AFB"/>
    <w:rsid w:val="005C0EE7"/>
    <w:rsid w:val="005C17E9"/>
    <w:rsid w:val="005C2CFC"/>
    <w:rsid w:val="005C3FA3"/>
    <w:rsid w:val="005C42D1"/>
    <w:rsid w:val="005C4372"/>
    <w:rsid w:val="005D0C3D"/>
    <w:rsid w:val="005D4E5D"/>
    <w:rsid w:val="005E2CCB"/>
    <w:rsid w:val="005E2F6B"/>
    <w:rsid w:val="005E5B26"/>
    <w:rsid w:val="005F64C5"/>
    <w:rsid w:val="005F7D76"/>
    <w:rsid w:val="006077B6"/>
    <w:rsid w:val="00612E28"/>
    <w:rsid w:val="006156E0"/>
    <w:rsid w:val="006158BB"/>
    <w:rsid w:val="0062581E"/>
    <w:rsid w:val="0063010B"/>
    <w:rsid w:val="00630E34"/>
    <w:rsid w:val="00635361"/>
    <w:rsid w:val="00635816"/>
    <w:rsid w:val="00636329"/>
    <w:rsid w:val="00640448"/>
    <w:rsid w:val="006405C2"/>
    <w:rsid w:val="006425A1"/>
    <w:rsid w:val="00645A5F"/>
    <w:rsid w:val="0065047D"/>
    <w:rsid w:val="00650770"/>
    <w:rsid w:val="00653440"/>
    <w:rsid w:val="00653F4A"/>
    <w:rsid w:val="00654742"/>
    <w:rsid w:val="006566FF"/>
    <w:rsid w:val="00656D31"/>
    <w:rsid w:val="00656EA8"/>
    <w:rsid w:val="00662AB3"/>
    <w:rsid w:val="006651A6"/>
    <w:rsid w:val="00667D78"/>
    <w:rsid w:val="00672BA0"/>
    <w:rsid w:val="00676045"/>
    <w:rsid w:val="0068097B"/>
    <w:rsid w:val="00682BFE"/>
    <w:rsid w:val="00683416"/>
    <w:rsid w:val="00692ED4"/>
    <w:rsid w:val="00693D63"/>
    <w:rsid w:val="006961FA"/>
    <w:rsid w:val="006A0099"/>
    <w:rsid w:val="006A3DC8"/>
    <w:rsid w:val="006A4343"/>
    <w:rsid w:val="006A634A"/>
    <w:rsid w:val="006B28F8"/>
    <w:rsid w:val="006B6A57"/>
    <w:rsid w:val="006C108E"/>
    <w:rsid w:val="006D110A"/>
    <w:rsid w:val="006D2E96"/>
    <w:rsid w:val="006D5075"/>
    <w:rsid w:val="006D7585"/>
    <w:rsid w:val="006E13DF"/>
    <w:rsid w:val="006E1921"/>
    <w:rsid w:val="006E2550"/>
    <w:rsid w:val="006E279B"/>
    <w:rsid w:val="006E5BCB"/>
    <w:rsid w:val="006E603E"/>
    <w:rsid w:val="006F1C0F"/>
    <w:rsid w:val="006F38A6"/>
    <w:rsid w:val="006F6D71"/>
    <w:rsid w:val="006F7533"/>
    <w:rsid w:val="007051EA"/>
    <w:rsid w:val="00707309"/>
    <w:rsid w:val="007233A0"/>
    <w:rsid w:val="00723E02"/>
    <w:rsid w:val="00725B49"/>
    <w:rsid w:val="00727477"/>
    <w:rsid w:val="00730781"/>
    <w:rsid w:val="007423CE"/>
    <w:rsid w:val="00744576"/>
    <w:rsid w:val="0074787D"/>
    <w:rsid w:val="00747F3A"/>
    <w:rsid w:val="00752235"/>
    <w:rsid w:val="007527BF"/>
    <w:rsid w:val="007565A9"/>
    <w:rsid w:val="00760837"/>
    <w:rsid w:val="00763354"/>
    <w:rsid w:val="00763D5D"/>
    <w:rsid w:val="007645FD"/>
    <w:rsid w:val="007700B5"/>
    <w:rsid w:val="00772107"/>
    <w:rsid w:val="00772528"/>
    <w:rsid w:val="007738B3"/>
    <w:rsid w:val="00785628"/>
    <w:rsid w:val="00786564"/>
    <w:rsid w:val="00790CA1"/>
    <w:rsid w:val="00790E1D"/>
    <w:rsid w:val="00791E77"/>
    <w:rsid w:val="007975F7"/>
    <w:rsid w:val="007A1890"/>
    <w:rsid w:val="007A23D2"/>
    <w:rsid w:val="007B27A7"/>
    <w:rsid w:val="007B3C92"/>
    <w:rsid w:val="007B4A8C"/>
    <w:rsid w:val="007C0721"/>
    <w:rsid w:val="007C2CC6"/>
    <w:rsid w:val="007C352C"/>
    <w:rsid w:val="007C3ECA"/>
    <w:rsid w:val="007C499E"/>
    <w:rsid w:val="007C4D00"/>
    <w:rsid w:val="007C59C4"/>
    <w:rsid w:val="007D07D4"/>
    <w:rsid w:val="007D1E90"/>
    <w:rsid w:val="007D60A0"/>
    <w:rsid w:val="007D7961"/>
    <w:rsid w:val="007E13C9"/>
    <w:rsid w:val="007E2246"/>
    <w:rsid w:val="007E277F"/>
    <w:rsid w:val="007E554E"/>
    <w:rsid w:val="007E6890"/>
    <w:rsid w:val="007E6C20"/>
    <w:rsid w:val="007E7965"/>
    <w:rsid w:val="007F1B6D"/>
    <w:rsid w:val="007F1FB8"/>
    <w:rsid w:val="007F59D9"/>
    <w:rsid w:val="007F7342"/>
    <w:rsid w:val="007F7515"/>
    <w:rsid w:val="00803BE7"/>
    <w:rsid w:val="00805649"/>
    <w:rsid w:val="008156D1"/>
    <w:rsid w:val="008209F4"/>
    <w:rsid w:val="00821796"/>
    <w:rsid w:val="008219EF"/>
    <w:rsid w:val="008221E4"/>
    <w:rsid w:val="008224C9"/>
    <w:rsid w:val="00824F41"/>
    <w:rsid w:val="00826B24"/>
    <w:rsid w:val="00826D27"/>
    <w:rsid w:val="00827824"/>
    <w:rsid w:val="00831A54"/>
    <w:rsid w:val="00835077"/>
    <w:rsid w:val="008354A4"/>
    <w:rsid w:val="008374AD"/>
    <w:rsid w:val="00837C4B"/>
    <w:rsid w:val="00837E56"/>
    <w:rsid w:val="00841DC2"/>
    <w:rsid w:val="008437B5"/>
    <w:rsid w:val="0084548E"/>
    <w:rsid w:val="0084563F"/>
    <w:rsid w:val="00852813"/>
    <w:rsid w:val="00854B5A"/>
    <w:rsid w:val="00854D39"/>
    <w:rsid w:val="00864F9F"/>
    <w:rsid w:val="008662A9"/>
    <w:rsid w:val="008725F2"/>
    <w:rsid w:val="00872DF5"/>
    <w:rsid w:val="008822F2"/>
    <w:rsid w:val="00882E17"/>
    <w:rsid w:val="008924E2"/>
    <w:rsid w:val="0089471E"/>
    <w:rsid w:val="008A18D5"/>
    <w:rsid w:val="008A2789"/>
    <w:rsid w:val="008A7B0F"/>
    <w:rsid w:val="008B5403"/>
    <w:rsid w:val="008B6B20"/>
    <w:rsid w:val="008C06AB"/>
    <w:rsid w:val="008C0DE0"/>
    <w:rsid w:val="008C17FC"/>
    <w:rsid w:val="008C6188"/>
    <w:rsid w:val="008D0084"/>
    <w:rsid w:val="008D1C8E"/>
    <w:rsid w:val="008E0C0E"/>
    <w:rsid w:val="008E1D87"/>
    <w:rsid w:val="008E2536"/>
    <w:rsid w:val="008E7D55"/>
    <w:rsid w:val="008F3A4F"/>
    <w:rsid w:val="008F4F3C"/>
    <w:rsid w:val="008F7DD8"/>
    <w:rsid w:val="00903193"/>
    <w:rsid w:val="009066AB"/>
    <w:rsid w:val="009146D2"/>
    <w:rsid w:val="0092138F"/>
    <w:rsid w:val="00923C70"/>
    <w:rsid w:val="0092492E"/>
    <w:rsid w:val="00934985"/>
    <w:rsid w:val="00934AA4"/>
    <w:rsid w:val="00934DD8"/>
    <w:rsid w:val="00935D7A"/>
    <w:rsid w:val="00940101"/>
    <w:rsid w:val="00943B64"/>
    <w:rsid w:val="009473D2"/>
    <w:rsid w:val="00955FF7"/>
    <w:rsid w:val="00956DA0"/>
    <w:rsid w:val="00956EDC"/>
    <w:rsid w:val="0095770F"/>
    <w:rsid w:val="009604C2"/>
    <w:rsid w:val="009613AA"/>
    <w:rsid w:val="00963F8C"/>
    <w:rsid w:val="00965CD4"/>
    <w:rsid w:val="009719FD"/>
    <w:rsid w:val="009810C5"/>
    <w:rsid w:val="00994933"/>
    <w:rsid w:val="00994D15"/>
    <w:rsid w:val="009961ED"/>
    <w:rsid w:val="00997ACF"/>
    <w:rsid w:val="009A3589"/>
    <w:rsid w:val="009A684C"/>
    <w:rsid w:val="009B23C2"/>
    <w:rsid w:val="009B6F37"/>
    <w:rsid w:val="009C2AE5"/>
    <w:rsid w:val="009C4025"/>
    <w:rsid w:val="009C6450"/>
    <w:rsid w:val="009D35AD"/>
    <w:rsid w:val="009D5D66"/>
    <w:rsid w:val="009D7BB8"/>
    <w:rsid w:val="009E04A3"/>
    <w:rsid w:val="009F03B4"/>
    <w:rsid w:val="009F0578"/>
    <w:rsid w:val="009F181A"/>
    <w:rsid w:val="009F444D"/>
    <w:rsid w:val="009F57B3"/>
    <w:rsid w:val="00A00BF4"/>
    <w:rsid w:val="00A03259"/>
    <w:rsid w:val="00A066BD"/>
    <w:rsid w:val="00A1029E"/>
    <w:rsid w:val="00A11340"/>
    <w:rsid w:val="00A231FF"/>
    <w:rsid w:val="00A24FEA"/>
    <w:rsid w:val="00A25324"/>
    <w:rsid w:val="00A321D3"/>
    <w:rsid w:val="00A33205"/>
    <w:rsid w:val="00A3529F"/>
    <w:rsid w:val="00A37441"/>
    <w:rsid w:val="00A37AE6"/>
    <w:rsid w:val="00A41B3D"/>
    <w:rsid w:val="00A449DA"/>
    <w:rsid w:val="00A5395E"/>
    <w:rsid w:val="00A547E9"/>
    <w:rsid w:val="00A54DF2"/>
    <w:rsid w:val="00A55C4D"/>
    <w:rsid w:val="00A569B8"/>
    <w:rsid w:val="00A6049D"/>
    <w:rsid w:val="00A61162"/>
    <w:rsid w:val="00A62DC0"/>
    <w:rsid w:val="00A64938"/>
    <w:rsid w:val="00A64B3B"/>
    <w:rsid w:val="00A700C0"/>
    <w:rsid w:val="00A747EE"/>
    <w:rsid w:val="00A80518"/>
    <w:rsid w:val="00A81877"/>
    <w:rsid w:val="00A85255"/>
    <w:rsid w:val="00A86E7F"/>
    <w:rsid w:val="00A876DB"/>
    <w:rsid w:val="00A879C8"/>
    <w:rsid w:val="00A87A13"/>
    <w:rsid w:val="00A908E5"/>
    <w:rsid w:val="00A91B93"/>
    <w:rsid w:val="00A932B7"/>
    <w:rsid w:val="00A93542"/>
    <w:rsid w:val="00A942C3"/>
    <w:rsid w:val="00AA1C57"/>
    <w:rsid w:val="00AA2B00"/>
    <w:rsid w:val="00AA467A"/>
    <w:rsid w:val="00AA6ACD"/>
    <w:rsid w:val="00AB266F"/>
    <w:rsid w:val="00AB30DA"/>
    <w:rsid w:val="00AB3326"/>
    <w:rsid w:val="00AB5CD4"/>
    <w:rsid w:val="00AB7D8A"/>
    <w:rsid w:val="00AC65AC"/>
    <w:rsid w:val="00AC7904"/>
    <w:rsid w:val="00AD0E21"/>
    <w:rsid w:val="00AD30A0"/>
    <w:rsid w:val="00AD3D2B"/>
    <w:rsid w:val="00AD5C20"/>
    <w:rsid w:val="00AD6EF4"/>
    <w:rsid w:val="00AE1B37"/>
    <w:rsid w:val="00AE277D"/>
    <w:rsid w:val="00AE4A28"/>
    <w:rsid w:val="00AE591B"/>
    <w:rsid w:val="00AE66D2"/>
    <w:rsid w:val="00AE67AB"/>
    <w:rsid w:val="00AE75BF"/>
    <w:rsid w:val="00AF280C"/>
    <w:rsid w:val="00AF7786"/>
    <w:rsid w:val="00B00B47"/>
    <w:rsid w:val="00B01236"/>
    <w:rsid w:val="00B017BD"/>
    <w:rsid w:val="00B038FB"/>
    <w:rsid w:val="00B04B14"/>
    <w:rsid w:val="00B06677"/>
    <w:rsid w:val="00B14B29"/>
    <w:rsid w:val="00B176BC"/>
    <w:rsid w:val="00B2237D"/>
    <w:rsid w:val="00B234A6"/>
    <w:rsid w:val="00B33893"/>
    <w:rsid w:val="00B3544B"/>
    <w:rsid w:val="00B362BA"/>
    <w:rsid w:val="00B371E5"/>
    <w:rsid w:val="00B44116"/>
    <w:rsid w:val="00B45368"/>
    <w:rsid w:val="00B47D73"/>
    <w:rsid w:val="00B47F81"/>
    <w:rsid w:val="00B50038"/>
    <w:rsid w:val="00B556EE"/>
    <w:rsid w:val="00B55BE0"/>
    <w:rsid w:val="00B60BDC"/>
    <w:rsid w:val="00B619FD"/>
    <w:rsid w:val="00B73388"/>
    <w:rsid w:val="00B75BAC"/>
    <w:rsid w:val="00B76FB4"/>
    <w:rsid w:val="00B868FC"/>
    <w:rsid w:val="00B914A0"/>
    <w:rsid w:val="00B9580C"/>
    <w:rsid w:val="00B95DF9"/>
    <w:rsid w:val="00BA0580"/>
    <w:rsid w:val="00BA4800"/>
    <w:rsid w:val="00BA4A38"/>
    <w:rsid w:val="00BA4E46"/>
    <w:rsid w:val="00BA5453"/>
    <w:rsid w:val="00BA7B47"/>
    <w:rsid w:val="00BB03FC"/>
    <w:rsid w:val="00BB5BE3"/>
    <w:rsid w:val="00BC6CF5"/>
    <w:rsid w:val="00BD40B3"/>
    <w:rsid w:val="00BE1C1E"/>
    <w:rsid w:val="00BE2989"/>
    <w:rsid w:val="00BE2B2B"/>
    <w:rsid w:val="00BE3212"/>
    <w:rsid w:val="00BF0B9E"/>
    <w:rsid w:val="00BF0D5C"/>
    <w:rsid w:val="00BF12C4"/>
    <w:rsid w:val="00BF1FE3"/>
    <w:rsid w:val="00BF1FFD"/>
    <w:rsid w:val="00BF4697"/>
    <w:rsid w:val="00BF4A1D"/>
    <w:rsid w:val="00BF5B36"/>
    <w:rsid w:val="00BF5B78"/>
    <w:rsid w:val="00C17C2C"/>
    <w:rsid w:val="00C20980"/>
    <w:rsid w:val="00C24DD3"/>
    <w:rsid w:val="00C25B41"/>
    <w:rsid w:val="00C27F7A"/>
    <w:rsid w:val="00C32595"/>
    <w:rsid w:val="00C342DA"/>
    <w:rsid w:val="00C34964"/>
    <w:rsid w:val="00C34F4E"/>
    <w:rsid w:val="00C41904"/>
    <w:rsid w:val="00C4319D"/>
    <w:rsid w:val="00C465B9"/>
    <w:rsid w:val="00C465F9"/>
    <w:rsid w:val="00C520D2"/>
    <w:rsid w:val="00C55843"/>
    <w:rsid w:val="00C56EDE"/>
    <w:rsid w:val="00C5734B"/>
    <w:rsid w:val="00C74951"/>
    <w:rsid w:val="00C7559D"/>
    <w:rsid w:val="00C7670A"/>
    <w:rsid w:val="00C8086D"/>
    <w:rsid w:val="00C8173F"/>
    <w:rsid w:val="00C84ABE"/>
    <w:rsid w:val="00C9117B"/>
    <w:rsid w:val="00C91B40"/>
    <w:rsid w:val="00C95AFF"/>
    <w:rsid w:val="00CA065A"/>
    <w:rsid w:val="00CA1C81"/>
    <w:rsid w:val="00CA4EDB"/>
    <w:rsid w:val="00CA7C7F"/>
    <w:rsid w:val="00CB3763"/>
    <w:rsid w:val="00CB58D2"/>
    <w:rsid w:val="00CB7C95"/>
    <w:rsid w:val="00CC5957"/>
    <w:rsid w:val="00CC5BDF"/>
    <w:rsid w:val="00CD30F3"/>
    <w:rsid w:val="00CD3152"/>
    <w:rsid w:val="00CD5CC9"/>
    <w:rsid w:val="00CE003E"/>
    <w:rsid w:val="00CE0658"/>
    <w:rsid w:val="00CE0AAE"/>
    <w:rsid w:val="00CE5E71"/>
    <w:rsid w:val="00CE7BC2"/>
    <w:rsid w:val="00CF20F0"/>
    <w:rsid w:val="00CF268C"/>
    <w:rsid w:val="00CF3D77"/>
    <w:rsid w:val="00CF42B5"/>
    <w:rsid w:val="00CF4663"/>
    <w:rsid w:val="00CF4FC8"/>
    <w:rsid w:val="00CF5090"/>
    <w:rsid w:val="00CF5109"/>
    <w:rsid w:val="00CF5C64"/>
    <w:rsid w:val="00CF6640"/>
    <w:rsid w:val="00D023FB"/>
    <w:rsid w:val="00D053E8"/>
    <w:rsid w:val="00D06F24"/>
    <w:rsid w:val="00D0714D"/>
    <w:rsid w:val="00D0766B"/>
    <w:rsid w:val="00D108C2"/>
    <w:rsid w:val="00D10D1B"/>
    <w:rsid w:val="00D10F86"/>
    <w:rsid w:val="00D111A0"/>
    <w:rsid w:val="00D13027"/>
    <w:rsid w:val="00D153D5"/>
    <w:rsid w:val="00D20A6F"/>
    <w:rsid w:val="00D2120A"/>
    <w:rsid w:val="00D33253"/>
    <w:rsid w:val="00D35A1D"/>
    <w:rsid w:val="00D441CC"/>
    <w:rsid w:val="00D44E7D"/>
    <w:rsid w:val="00D46839"/>
    <w:rsid w:val="00D539C3"/>
    <w:rsid w:val="00D542A0"/>
    <w:rsid w:val="00D622A3"/>
    <w:rsid w:val="00D6232A"/>
    <w:rsid w:val="00D64114"/>
    <w:rsid w:val="00D67488"/>
    <w:rsid w:val="00D67C4F"/>
    <w:rsid w:val="00D67EB4"/>
    <w:rsid w:val="00D717C2"/>
    <w:rsid w:val="00D73A0C"/>
    <w:rsid w:val="00D74490"/>
    <w:rsid w:val="00D74F51"/>
    <w:rsid w:val="00D802C9"/>
    <w:rsid w:val="00D8239B"/>
    <w:rsid w:val="00D83256"/>
    <w:rsid w:val="00D8492C"/>
    <w:rsid w:val="00DA7670"/>
    <w:rsid w:val="00DB2141"/>
    <w:rsid w:val="00DB3077"/>
    <w:rsid w:val="00DB6721"/>
    <w:rsid w:val="00DC784B"/>
    <w:rsid w:val="00DE1580"/>
    <w:rsid w:val="00DF04C6"/>
    <w:rsid w:val="00DF0D70"/>
    <w:rsid w:val="00E0058F"/>
    <w:rsid w:val="00E01ABF"/>
    <w:rsid w:val="00E034FA"/>
    <w:rsid w:val="00E0384B"/>
    <w:rsid w:val="00E048F2"/>
    <w:rsid w:val="00E10F2D"/>
    <w:rsid w:val="00E119C4"/>
    <w:rsid w:val="00E159FF"/>
    <w:rsid w:val="00E17249"/>
    <w:rsid w:val="00E2036D"/>
    <w:rsid w:val="00E21BA4"/>
    <w:rsid w:val="00E269AC"/>
    <w:rsid w:val="00E26A9D"/>
    <w:rsid w:val="00E32F50"/>
    <w:rsid w:val="00E3399E"/>
    <w:rsid w:val="00E34544"/>
    <w:rsid w:val="00E35741"/>
    <w:rsid w:val="00E35F98"/>
    <w:rsid w:val="00E37014"/>
    <w:rsid w:val="00E4403C"/>
    <w:rsid w:val="00E456CD"/>
    <w:rsid w:val="00E47556"/>
    <w:rsid w:val="00E479EB"/>
    <w:rsid w:val="00E50657"/>
    <w:rsid w:val="00E516CE"/>
    <w:rsid w:val="00E530E8"/>
    <w:rsid w:val="00E558DC"/>
    <w:rsid w:val="00E61BF4"/>
    <w:rsid w:val="00E638C2"/>
    <w:rsid w:val="00E648E4"/>
    <w:rsid w:val="00E6498E"/>
    <w:rsid w:val="00E67195"/>
    <w:rsid w:val="00E6734D"/>
    <w:rsid w:val="00E7003F"/>
    <w:rsid w:val="00E703B5"/>
    <w:rsid w:val="00E75C01"/>
    <w:rsid w:val="00E83097"/>
    <w:rsid w:val="00E84639"/>
    <w:rsid w:val="00E8464A"/>
    <w:rsid w:val="00E850D8"/>
    <w:rsid w:val="00E85CF3"/>
    <w:rsid w:val="00E87AE6"/>
    <w:rsid w:val="00E91CDC"/>
    <w:rsid w:val="00EA2127"/>
    <w:rsid w:val="00EB03F5"/>
    <w:rsid w:val="00EB19C8"/>
    <w:rsid w:val="00EB4FAD"/>
    <w:rsid w:val="00EB5C56"/>
    <w:rsid w:val="00EB6AA2"/>
    <w:rsid w:val="00EC1CBE"/>
    <w:rsid w:val="00EC3FAC"/>
    <w:rsid w:val="00EC48E8"/>
    <w:rsid w:val="00EC4B4D"/>
    <w:rsid w:val="00EC6ED3"/>
    <w:rsid w:val="00EE2689"/>
    <w:rsid w:val="00EE291E"/>
    <w:rsid w:val="00EE38B1"/>
    <w:rsid w:val="00EE56AA"/>
    <w:rsid w:val="00EE626A"/>
    <w:rsid w:val="00EE7434"/>
    <w:rsid w:val="00EF0D2F"/>
    <w:rsid w:val="00EF13E1"/>
    <w:rsid w:val="00EF3A17"/>
    <w:rsid w:val="00F01ECC"/>
    <w:rsid w:val="00F0667E"/>
    <w:rsid w:val="00F076C4"/>
    <w:rsid w:val="00F168E1"/>
    <w:rsid w:val="00F2048B"/>
    <w:rsid w:val="00F23A56"/>
    <w:rsid w:val="00F30724"/>
    <w:rsid w:val="00F33785"/>
    <w:rsid w:val="00F4025B"/>
    <w:rsid w:val="00F43707"/>
    <w:rsid w:val="00F43963"/>
    <w:rsid w:val="00F43DD0"/>
    <w:rsid w:val="00F47157"/>
    <w:rsid w:val="00F47B91"/>
    <w:rsid w:val="00F50480"/>
    <w:rsid w:val="00F52827"/>
    <w:rsid w:val="00F53334"/>
    <w:rsid w:val="00F608E8"/>
    <w:rsid w:val="00F61DDF"/>
    <w:rsid w:val="00F6294A"/>
    <w:rsid w:val="00F6408B"/>
    <w:rsid w:val="00F65390"/>
    <w:rsid w:val="00F678B6"/>
    <w:rsid w:val="00F74374"/>
    <w:rsid w:val="00F776F4"/>
    <w:rsid w:val="00F77E61"/>
    <w:rsid w:val="00F80645"/>
    <w:rsid w:val="00F81EB2"/>
    <w:rsid w:val="00F83721"/>
    <w:rsid w:val="00F83913"/>
    <w:rsid w:val="00F86563"/>
    <w:rsid w:val="00F905A6"/>
    <w:rsid w:val="00F9151D"/>
    <w:rsid w:val="00F9231F"/>
    <w:rsid w:val="00F96B6A"/>
    <w:rsid w:val="00F9722C"/>
    <w:rsid w:val="00FA0E3E"/>
    <w:rsid w:val="00FA2663"/>
    <w:rsid w:val="00FA41C9"/>
    <w:rsid w:val="00FA7D5F"/>
    <w:rsid w:val="00FB1CF7"/>
    <w:rsid w:val="00FB7B9C"/>
    <w:rsid w:val="00FC0685"/>
    <w:rsid w:val="00FC1360"/>
    <w:rsid w:val="00FC198D"/>
    <w:rsid w:val="00FC3E1F"/>
    <w:rsid w:val="00FC4093"/>
    <w:rsid w:val="00FC44E1"/>
    <w:rsid w:val="00FC530C"/>
    <w:rsid w:val="00FC550B"/>
    <w:rsid w:val="00FC62EF"/>
    <w:rsid w:val="00FD05FE"/>
    <w:rsid w:val="00FD5F15"/>
    <w:rsid w:val="00FE0DCA"/>
    <w:rsid w:val="00FE6D5A"/>
    <w:rsid w:val="00FF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AB"/>
  </w:style>
  <w:style w:type="paragraph" w:styleId="Heading4">
    <w:name w:val="heading 4"/>
    <w:basedOn w:val="Normal"/>
    <w:next w:val="Normal"/>
    <w:link w:val="Heading4Char"/>
    <w:uiPriority w:val="9"/>
    <w:unhideWhenUsed/>
    <w:qFormat/>
    <w:rsid w:val="007B3C92"/>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EC"/>
  </w:style>
  <w:style w:type="paragraph" w:styleId="Footer">
    <w:name w:val="footer"/>
    <w:basedOn w:val="Normal"/>
    <w:link w:val="FooterChar"/>
    <w:uiPriority w:val="99"/>
    <w:unhideWhenUsed/>
    <w:rsid w:val="003B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EC"/>
  </w:style>
  <w:style w:type="paragraph" w:styleId="BalloonText">
    <w:name w:val="Balloon Text"/>
    <w:basedOn w:val="Normal"/>
    <w:link w:val="BalloonTextChar"/>
    <w:uiPriority w:val="99"/>
    <w:semiHidden/>
    <w:unhideWhenUsed/>
    <w:rsid w:val="003B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EC"/>
    <w:rPr>
      <w:rFonts w:ascii="Tahoma" w:hAnsi="Tahoma" w:cs="Tahoma"/>
      <w:sz w:val="16"/>
      <w:szCs w:val="16"/>
    </w:rPr>
  </w:style>
  <w:style w:type="paragraph" w:customStyle="1" w:styleId="Default">
    <w:name w:val="Default"/>
    <w:rsid w:val="00332ED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rsid w:val="007B3C92"/>
    <w:rPr>
      <w:rFonts w:asciiTheme="majorHAnsi" w:eastAsiaTheme="majorEastAsia" w:hAnsiTheme="majorHAnsi" w:cstheme="majorBidi"/>
      <w:i/>
      <w:iCs/>
      <w:color w:val="4F81BD" w:themeColor="accent1"/>
      <w:sz w:val="24"/>
      <w:szCs w:val="24"/>
      <w:lang w:bidi="en-US"/>
    </w:rPr>
  </w:style>
  <w:style w:type="paragraph" w:styleId="BodyTextIndent">
    <w:name w:val="Body Text Indent"/>
    <w:basedOn w:val="Normal"/>
    <w:link w:val="BodyTextIndentChar"/>
    <w:rsid w:val="007B3C92"/>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3C9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B7B9C"/>
    <w:pPr>
      <w:spacing w:after="120" w:line="240" w:lineRule="auto"/>
      <w:contextualSpacing/>
    </w:pPr>
    <w:rPr>
      <w:rFonts w:ascii="Times New Roman" w:hAnsi="Times New Roman"/>
      <w:sz w:val="24"/>
    </w:rPr>
  </w:style>
  <w:style w:type="character" w:customStyle="1" w:styleId="BodyTextChar">
    <w:name w:val="Body Text Char"/>
    <w:basedOn w:val="DefaultParagraphFont"/>
    <w:link w:val="BodyText"/>
    <w:uiPriority w:val="99"/>
    <w:rsid w:val="00FB7B9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01D30BC69A42BEBF5EBD29A86225E1"/>
        <w:category>
          <w:name w:val="General"/>
          <w:gallery w:val="placeholder"/>
        </w:category>
        <w:types>
          <w:type w:val="bbPlcHdr"/>
        </w:types>
        <w:behaviors>
          <w:behavior w:val="content"/>
        </w:behaviors>
        <w:guid w:val="{2FD33D82-7421-435D-BA19-8C91BF9F1CB8}"/>
      </w:docPartPr>
      <w:docPartBody>
        <w:p w:rsidR="007F2366" w:rsidRDefault="00B43D25" w:rsidP="00B43D25">
          <w:pPr>
            <w:pStyle w:val="5201D30BC69A42BEBF5EBD29A86225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3D25"/>
    <w:rsid w:val="00154B12"/>
    <w:rsid w:val="001F0DE3"/>
    <w:rsid w:val="00295D08"/>
    <w:rsid w:val="002E6019"/>
    <w:rsid w:val="002F0FC9"/>
    <w:rsid w:val="00360154"/>
    <w:rsid w:val="00360618"/>
    <w:rsid w:val="003C5999"/>
    <w:rsid w:val="00427277"/>
    <w:rsid w:val="00455CD6"/>
    <w:rsid w:val="00484384"/>
    <w:rsid w:val="005A2FFB"/>
    <w:rsid w:val="006476A9"/>
    <w:rsid w:val="0065495F"/>
    <w:rsid w:val="007035C4"/>
    <w:rsid w:val="007233D3"/>
    <w:rsid w:val="007F2366"/>
    <w:rsid w:val="00876F1A"/>
    <w:rsid w:val="008D2A6E"/>
    <w:rsid w:val="00950458"/>
    <w:rsid w:val="00961025"/>
    <w:rsid w:val="00990A26"/>
    <w:rsid w:val="009C590F"/>
    <w:rsid w:val="00A31591"/>
    <w:rsid w:val="00B43D25"/>
    <w:rsid w:val="00C169E0"/>
    <w:rsid w:val="00C33E58"/>
    <w:rsid w:val="00C66995"/>
    <w:rsid w:val="00CD5117"/>
    <w:rsid w:val="00CD7459"/>
    <w:rsid w:val="00D022B1"/>
    <w:rsid w:val="00D14959"/>
    <w:rsid w:val="00DA5DB8"/>
    <w:rsid w:val="00DA6883"/>
    <w:rsid w:val="00DB147E"/>
    <w:rsid w:val="00E174AD"/>
    <w:rsid w:val="00E2142D"/>
    <w:rsid w:val="00E3274B"/>
    <w:rsid w:val="00EF7335"/>
    <w:rsid w:val="00FF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9F86A571445CB89778ED52D587589">
    <w:name w:val="14C9F86A571445CB89778ED52D587589"/>
    <w:rsid w:val="00B43D25"/>
  </w:style>
  <w:style w:type="paragraph" w:customStyle="1" w:styleId="5201D30BC69A42BEBF5EBD29A86225E1">
    <w:name w:val="5201D30BC69A42BEBF5EBD29A86225E1"/>
    <w:rsid w:val="00B43D25"/>
  </w:style>
  <w:style w:type="paragraph" w:customStyle="1" w:styleId="0DADE90C61CC4528AF1153802C4D68BE">
    <w:name w:val="0DADE90C61CC4528AF1153802C4D68BE"/>
    <w:rsid w:val="00DA5D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22FB-CE20-4635-BCC0-6009538B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CCC Actionable Improvement Plans and Work Plan 2012–2013   </vt:lpstr>
    </vt:vector>
  </TitlesOfParts>
  <Company>Community College</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Actionable Improvement Plans and Work Plan 2012–2013</dc:title>
  <dc:creator>sspencer</dc:creator>
  <cp:lastModifiedBy>Mary Halvorson</cp:lastModifiedBy>
  <cp:revision>2</cp:revision>
  <cp:lastPrinted>2012-10-30T22:40:00Z</cp:lastPrinted>
  <dcterms:created xsi:type="dcterms:W3CDTF">2012-11-06T23:02:00Z</dcterms:created>
  <dcterms:modified xsi:type="dcterms:W3CDTF">2012-11-06T23:02:00Z</dcterms:modified>
</cp:coreProperties>
</file>